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31" w:rsidRDefault="00470AD0" w:rsidP="00C92D75">
      <w:pPr>
        <w:jc w:val="center"/>
        <w:rPr>
          <w:b/>
          <w:sz w:val="28"/>
          <w:szCs w:val="28"/>
        </w:rPr>
      </w:pPr>
      <w:bookmarkStart w:id="0" w:name="_GoBack"/>
      <w:bookmarkEnd w:id="0"/>
      <w:r>
        <w:rPr>
          <w:b/>
          <w:sz w:val="28"/>
          <w:szCs w:val="28"/>
        </w:rPr>
        <w:t>What's That S</w:t>
      </w:r>
      <w:r w:rsidR="007B12F6">
        <w:rPr>
          <w:b/>
          <w:sz w:val="28"/>
          <w:szCs w:val="28"/>
        </w:rPr>
        <w:t>alt</w:t>
      </w:r>
      <w:r w:rsidR="000F5299">
        <w:rPr>
          <w:b/>
          <w:sz w:val="28"/>
          <w:szCs w:val="28"/>
        </w:rPr>
        <w:t>?</w:t>
      </w:r>
    </w:p>
    <w:p w:rsidR="00DC0A31" w:rsidRDefault="00DC0A31" w:rsidP="00C92D75">
      <w:pPr>
        <w:jc w:val="center"/>
        <w:rPr>
          <w:b/>
          <w:sz w:val="28"/>
          <w:szCs w:val="28"/>
        </w:rPr>
      </w:pPr>
    </w:p>
    <w:p w:rsidR="00DC0A31" w:rsidRDefault="00DC0A31" w:rsidP="00C92D75">
      <w:pPr>
        <w:jc w:val="center"/>
        <w:rPr>
          <w:b/>
          <w:sz w:val="28"/>
          <w:szCs w:val="28"/>
        </w:rPr>
      </w:pPr>
    </w:p>
    <w:p w:rsidR="00DC0A31" w:rsidRDefault="00DC0A31" w:rsidP="00C92D75">
      <w:pPr>
        <w:jc w:val="center"/>
      </w:pPr>
      <w:r w:rsidRPr="007145D7">
        <w:rPr>
          <w:noProof/>
        </w:rPr>
        <w:drawing>
          <wp:inline distT="0" distB="0" distL="0" distR="0" wp14:anchorId="04B7FDB3" wp14:editId="218C7413">
            <wp:extent cx="3248024" cy="2436019"/>
            <wp:effectExtent l="0" t="0" r="0" b="0"/>
            <wp:docPr id="6" name="Picture 6" descr="080112 (06) SLC John Mangham House.JPG (6595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80112 (06) SLC John Mangham House.JPG (65951 by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7400" cy="2435551"/>
                    </a:xfrm>
                    <a:prstGeom prst="rect">
                      <a:avLst/>
                    </a:prstGeom>
                    <a:noFill/>
                    <a:ln>
                      <a:noFill/>
                    </a:ln>
                  </pic:spPr>
                </pic:pic>
              </a:graphicData>
            </a:graphic>
          </wp:inline>
        </w:drawing>
      </w:r>
      <w:r>
        <w:t xml:space="preserve">  </w:t>
      </w:r>
    </w:p>
    <w:p w:rsidR="008926DB" w:rsidRPr="00DC0A31" w:rsidRDefault="00DC0A31" w:rsidP="00C92D75">
      <w:pPr>
        <w:jc w:val="center"/>
        <w:rPr>
          <w:b/>
          <w:sz w:val="28"/>
          <w:szCs w:val="28"/>
        </w:rPr>
      </w:pPr>
      <w:r w:rsidRPr="007145D7">
        <w:rPr>
          <w:noProof/>
        </w:rPr>
        <w:drawing>
          <wp:inline distT="0" distB="0" distL="0" distR="0" wp14:anchorId="427BFEAB" wp14:editId="29E5BE50">
            <wp:extent cx="1360714" cy="2057400"/>
            <wp:effectExtent l="0" t="0" r="0" b="0"/>
            <wp:docPr id="2" name="Picture 2" descr="http://www.acresedge.com/products/images/Blizzard_Wiz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cresedge.com/products/images/Blizzard_Wizar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606" cy="2060260"/>
                    </a:xfrm>
                    <a:prstGeom prst="rect">
                      <a:avLst/>
                    </a:prstGeom>
                    <a:noFill/>
                    <a:ln>
                      <a:noFill/>
                    </a:ln>
                  </pic:spPr>
                </pic:pic>
              </a:graphicData>
            </a:graphic>
          </wp:inline>
        </w:drawing>
      </w:r>
      <w:r>
        <w:t xml:space="preserve">            </w:t>
      </w:r>
      <w:r>
        <w:rPr>
          <w:rFonts w:ascii="Arial" w:hAnsi="Arial" w:cs="Arial"/>
          <w:noProof/>
          <w:color w:val="0000FF"/>
          <w:sz w:val="27"/>
          <w:szCs w:val="27"/>
        </w:rPr>
        <w:drawing>
          <wp:inline distT="0" distB="0" distL="0" distR="0" wp14:anchorId="576AB763" wp14:editId="340A31C6">
            <wp:extent cx="1485900" cy="1849471"/>
            <wp:effectExtent l="0" t="0" r="0" b="0"/>
            <wp:docPr id="4" name="rg_hi" descr="http://t3.gstatic.com/images?q=tbn:ANd9GcTA00BB9nVIlpRdIY4p5LL6HfJFpG-E4VxLESl8FIH11JhQzmY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A00BB9nVIlpRdIY4p5LL6HfJFpG-E4VxLESl8FIH11JhQzmY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1849471"/>
                    </a:xfrm>
                    <a:prstGeom prst="rect">
                      <a:avLst/>
                    </a:prstGeom>
                    <a:noFill/>
                    <a:ln>
                      <a:noFill/>
                    </a:ln>
                  </pic:spPr>
                </pic:pic>
              </a:graphicData>
            </a:graphic>
          </wp:inline>
        </w:drawing>
      </w:r>
    </w:p>
    <w:p w:rsidR="008926DB" w:rsidRPr="00470AD0" w:rsidRDefault="008926DB" w:rsidP="00C92D75">
      <w:pPr>
        <w:jc w:val="center"/>
      </w:pPr>
    </w:p>
    <w:p w:rsidR="00470AD0" w:rsidRDefault="00BA4CA0">
      <w:r>
        <w:t xml:space="preserve">Your dad </w:t>
      </w:r>
      <w:r w:rsidR="004F7E09">
        <w:t>has been trying to reduce his expenses</w:t>
      </w:r>
      <w:r>
        <w:t xml:space="preserve"> and would like to save some money on driveway salt to melt </w:t>
      </w:r>
      <w:r w:rsidR="00E36094">
        <w:t xml:space="preserve">unsafe </w:t>
      </w:r>
      <w:r>
        <w:t>ice</w:t>
      </w:r>
      <w:r w:rsidR="00A16364">
        <w:t xml:space="preserve">. </w:t>
      </w:r>
      <w:r>
        <w:t xml:space="preserve">He </w:t>
      </w:r>
      <w:r w:rsidR="00A16364">
        <w:t xml:space="preserve">would like to buy the cheaper generic brand that claims to work as well as his </w:t>
      </w:r>
      <w:r>
        <w:t>favorite brand</w:t>
      </w:r>
      <w:r w:rsidR="00A16364">
        <w:t xml:space="preserve">.  </w:t>
      </w:r>
      <w:r w:rsidR="00E36094">
        <w:t>He knows enough about chemistry to know that if the two brands have the same ingredients in the same amounts they should work the same.  There is only one problem, neither bags lists the ingredients.</w:t>
      </w:r>
    </w:p>
    <w:p w:rsidR="003961B7" w:rsidRDefault="003961B7"/>
    <w:p w:rsidR="00304050" w:rsidRDefault="007B12F6">
      <w:r>
        <w:t xml:space="preserve">Doing a little research online, he has </w:t>
      </w:r>
      <w:r w:rsidR="00625B80">
        <w:t xml:space="preserve">narrowed the possible choices </w:t>
      </w:r>
      <w:r w:rsidR="009254E7">
        <w:t xml:space="preserve">for ingredients </w:t>
      </w:r>
      <w:r w:rsidR="00625B80">
        <w:t xml:space="preserve">down to 4 different salts. </w:t>
      </w:r>
      <w:r>
        <w:t xml:space="preserve">Knowing that you are currently studying general chemistry, </w:t>
      </w:r>
      <w:r w:rsidR="00625B80">
        <w:t xml:space="preserve">he </w:t>
      </w:r>
      <w:r w:rsidR="009254E7">
        <w:t>has</w:t>
      </w:r>
      <w:r w:rsidR="00625B80">
        <w:t xml:space="preserve"> asked for your help figuring out whether or not the two brands have the same salts in them.  </w:t>
      </w:r>
      <w:r w:rsidR="00304050">
        <w:t>B</w:t>
      </w:r>
      <w:r w:rsidR="009254E7">
        <w:t>efore you can help your dad you</w:t>
      </w:r>
      <w:r w:rsidR="00304050">
        <w:t xml:space="preserve"> realize you</w:t>
      </w:r>
      <w:r w:rsidR="009254E7">
        <w:t xml:space="preserve"> need </w:t>
      </w:r>
      <w:r w:rsidR="00304050">
        <w:t>to figure out the answer to two questions:</w:t>
      </w:r>
    </w:p>
    <w:p w:rsidR="00304050" w:rsidRDefault="00304050" w:rsidP="00304050">
      <w:pPr>
        <w:pStyle w:val="ListParagraph"/>
        <w:numPr>
          <w:ilvl w:val="0"/>
          <w:numId w:val="7"/>
        </w:numPr>
      </w:pPr>
      <w:r>
        <w:t>What is the chemical basis for using salt to melt ice?</w:t>
      </w:r>
    </w:p>
    <w:p w:rsidR="003961B7" w:rsidRPr="00477E1A" w:rsidRDefault="00DC0A31" w:rsidP="00304050">
      <w:pPr>
        <w:pStyle w:val="ListParagraph"/>
        <w:numPr>
          <w:ilvl w:val="0"/>
          <w:numId w:val="7"/>
        </w:numPr>
      </w:pPr>
      <w:r>
        <w:t>Can</w:t>
      </w:r>
      <w:r w:rsidR="00625B80">
        <w:t xml:space="preserve"> you </w:t>
      </w:r>
      <w:r>
        <w:t>use this</w:t>
      </w:r>
      <w:r w:rsidR="00304050">
        <w:t xml:space="preserve"> </w:t>
      </w:r>
      <w:r>
        <w:t>this chemical property</w:t>
      </w:r>
      <w:r w:rsidR="00304050">
        <w:t xml:space="preserve"> to </w:t>
      </w:r>
      <w:r w:rsidR="00625B80">
        <w:t>design an experiment that would answer your dad's question?</w:t>
      </w:r>
    </w:p>
    <w:p w:rsidR="00470AD0" w:rsidRDefault="00470AD0">
      <w:pPr>
        <w:rPr>
          <w:b/>
          <w:sz w:val="22"/>
          <w:szCs w:val="22"/>
        </w:rPr>
      </w:pPr>
      <w:r>
        <w:rPr>
          <w:b/>
          <w:sz w:val="22"/>
          <w:szCs w:val="22"/>
        </w:rPr>
        <w:br w:type="page"/>
      </w:r>
    </w:p>
    <w:p w:rsidR="007377C6" w:rsidRPr="00BA4CA0" w:rsidRDefault="00470AD0" w:rsidP="00BA4CA0">
      <w:pPr>
        <w:spacing w:before="120" w:after="200" w:line="276" w:lineRule="auto"/>
        <w:rPr>
          <w:b/>
        </w:rPr>
      </w:pPr>
      <w:r w:rsidRPr="00BA4CA0">
        <w:rPr>
          <w:b/>
        </w:rPr>
        <w:lastRenderedPageBreak/>
        <w:t>Background</w:t>
      </w:r>
    </w:p>
    <w:p w:rsidR="002051BF" w:rsidRPr="00BA4CA0" w:rsidRDefault="00EF4AA9" w:rsidP="00BA4CA0">
      <w:pPr>
        <w:spacing w:after="200" w:line="276" w:lineRule="auto"/>
      </w:pPr>
      <w:r w:rsidRPr="00BA4CA0">
        <w:t xml:space="preserve">The amount of solute dissolved in a </w:t>
      </w:r>
      <w:r w:rsidR="00B6585C" w:rsidRPr="00BA4CA0">
        <w:t>liquid</w:t>
      </w:r>
      <w:r w:rsidRPr="00BA4CA0">
        <w:t xml:space="preserve"> affects the </w:t>
      </w:r>
      <w:r w:rsidR="00B6585C" w:rsidRPr="00BA4CA0">
        <w:t>liquid</w:t>
      </w:r>
      <w:r w:rsidRPr="00BA4CA0">
        <w:t>’s boiling point, freezing point, and vapor pressure.</w:t>
      </w:r>
      <w:r w:rsidR="00B6585C" w:rsidRPr="00BA4CA0">
        <w:t xml:space="preserve"> These three prope</w:t>
      </w:r>
      <w:r w:rsidR="00E93DB2" w:rsidRPr="00BA4CA0">
        <w:t xml:space="preserve">rties are collectively known as </w:t>
      </w:r>
      <w:r w:rsidR="00B6585C" w:rsidRPr="00BA4CA0">
        <w:t>colligative properties</w:t>
      </w:r>
      <w:r w:rsidR="00AA5934" w:rsidRPr="00BA4CA0">
        <w:t xml:space="preserve">, and </w:t>
      </w:r>
      <w:r w:rsidR="00B6585C" w:rsidRPr="00BA4CA0">
        <w:t xml:space="preserve">depend on only the </w:t>
      </w:r>
      <w:r w:rsidR="00B6585C" w:rsidRPr="00BA4CA0">
        <w:rPr>
          <w:i/>
        </w:rPr>
        <w:t>number</w:t>
      </w:r>
      <w:r w:rsidR="00B6585C" w:rsidRPr="00BA4CA0">
        <w:t xml:space="preserve"> of solute particles present in a given amount of solvent</w:t>
      </w:r>
      <w:r w:rsidR="00AA5934" w:rsidRPr="00BA4CA0">
        <w:t>,</w:t>
      </w:r>
      <w:r w:rsidR="00B6585C" w:rsidRPr="00BA4CA0">
        <w:t xml:space="preserve"> not on the </w:t>
      </w:r>
      <w:r w:rsidR="00E93DB2" w:rsidRPr="00BA4CA0">
        <w:rPr>
          <w:i/>
        </w:rPr>
        <w:t>identity</w:t>
      </w:r>
      <w:r w:rsidR="00B6585C" w:rsidRPr="00BA4CA0">
        <w:t xml:space="preserve"> of particles dissolved.</w:t>
      </w:r>
      <w:r w:rsidR="00E3154A" w:rsidRPr="00BA4CA0">
        <w:t xml:space="preserve"> When a solid is dissolved</w:t>
      </w:r>
      <w:r w:rsidR="00ED3171" w:rsidRPr="00BA4CA0">
        <w:t xml:space="preserve"> in a liquid, the freezing point of that liquid is depressed. It is possible to calculate the </w:t>
      </w:r>
      <w:r w:rsidR="00BC265C" w:rsidRPr="00BA4CA0">
        <w:t xml:space="preserve">extent of the depression </w:t>
      </w:r>
      <w:r w:rsidR="00544214" w:rsidRPr="00BA4CA0">
        <w:t>using</w:t>
      </w:r>
      <w:r w:rsidR="00F071D8" w:rsidRPr="00BA4CA0">
        <w:t xml:space="preserve"> </w:t>
      </w:r>
      <w:r w:rsidR="00F071D8" w:rsidRPr="00BA4CA0">
        <w:rPr>
          <w:i/>
        </w:rPr>
        <w:t>m</w:t>
      </w:r>
      <w:r w:rsidR="00F071D8" w:rsidRPr="00BA4CA0">
        <w:t xml:space="preserve">, </w:t>
      </w:r>
      <w:r w:rsidR="00544214" w:rsidRPr="00BA4CA0">
        <w:t>the</w:t>
      </w:r>
      <w:r w:rsidR="00BC265C" w:rsidRPr="00BA4CA0">
        <w:t xml:space="preserve"> molality</w:t>
      </w:r>
      <w:r w:rsidR="002051BF" w:rsidRPr="00BA4CA0">
        <w:t xml:space="preserve"> of the solution</w:t>
      </w:r>
      <w:r w:rsidR="00F071D8" w:rsidRPr="00BA4CA0">
        <w:t xml:space="preserve">, </w:t>
      </w:r>
      <w:r w:rsidR="002051BF" w:rsidRPr="00BA4CA0">
        <w:t xml:space="preserve">and </w:t>
      </w:r>
      <w:proofErr w:type="spellStart"/>
      <w:r w:rsidR="002051BF" w:rsidRPr="00BA4CA0">
        <w:t>k</w:t>
      </w:r>
      <w:r w:rsidR="002051BF" w:rsidRPr="00BA4CA0">
        <w:rPr>
          <w:vertAlign w:val="subscript"/>
        </w:rPr>
        <w:t>f</w:t>
      </w:r>
      <w:proofErr w:type="spellEnd"/>
      <w:r w:rsidR="002051BF" w:rsidRPr="00BA4CA0">
        <w:t>,</w:t>
      </w:r>
      <w:r w:rsidR="00F071D8" w:rsidRPr="00BA4CA0">
        <w:t xml:space="preserve"> </w:t>
      </w:r>
      <w:r w:rsidR="002051BF" w:rsidRPr="00BA4CA0">
        <w:t>a constant characteristic of the solvent used, as shown in the following expression:</w:t>
      </w:r>
    </w:p>
    <w:p w:rsidR="002051BF" w:rsidRPr="00BA4CA0" w:rsidRDefault="002051BF" w:rsidP="00BA4CA0">
      <w:pPr>
        <w:tabs>
          <w:tab w:val="left" w:pos="3960"/>
          <w:tab w:val="left" w:pos="9000"/>
        </w:tabs>
        <w:spacing w:before="120" w:after="200" w:line="276" w:lineRule="auto"/>
      </w:pPr>
      <w:r w:rsidRPr="00BA4CA0">
        <w:tab/>
      </w:r>
      <w:r w:rsidRPr="00BA4CA0">
        <w:rPr>
          <w:position w:val="-10"/>
        </w:rPr>
        <w:object w:dxaOrig="10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7.25pt" o:ole="">
            <v:imagedata r:id="rId13" o:title=""/>
          </v:shape>
          <o:OLEObject Type="Embed" ProgID="Equation.3" ShapeID="_x0000_i1025" DrawAspect="Content" ObjectID="_1453979905" r:id="rId14"/>
        </w:object>
      </w:r>
      <w:r w:rsidRPr="00BA4CA0">
        <w:tab/>
        <w:t>(1)</w:t>
      </w:r>
    </w:p>
    <w:p w:rsidR="001C6A28" w:rsidRPr="00BA4CA0" w:rsidRDefault="00544214" w:rsidP="00BA4CA0">
      <w:pPr>
        <w:spacing w:before="120" w:after="200" w:line="276" w:lineRule="auto"/>
      </w:pPr>
      <w:r w:rsidRPr="00BA4CA0">
        <w:t xml:space="preserve">Molality, </w:t>
      </w:r>
      <w:r w:rsidRPr="00BA4CA0">
        <w:rPr>
          <w:i/>
        </w:rPr>
        <w:t>m</w:t>
      </w:r>
      <w:r w:rsidRPr="00BA4CA0">
        <w:t>, is a measure of solute concentration, and</w:t>
      </w:r>
      <w:r w:rsidR="00BC265C" w:rsidRPr="00BA4CA0">
        <w:t xml:space="preserve"> </w:t>
      </w:r>
      <w:r w:rsidRPr="00BA4CA0">
        <w:t xml:space="preserve">is </w:t>
      </w:r>
      <w:r w:rsidR="00BC265C" w:rsidRPr="00BA4CA0">
        <w:t>defined by the following expression:</w:t>
      </w:r>
    </w:p>
    <w:p w:rsidR="00BC265C" w:rsidRPr="00BA4CA0" w:rsidRDefault="005B3922" w:rsidP="00BA4CA0">
      <w:pPr>
        <w:tabs>
          <w:tab w:val="left" w:pos="2640"/>
          <w:tab w:val="left" w:pos="9000"/>
        </w:tabs>
        <w:spacing w:before="120" w:after="200" w:line="276" w:lineRule="auto"/>
      </w:pPr>
      <w:r w:rsidRPr="00BA4CA0">
        <w:tab/>
      </w:r>
      <w:r w:rsidR="00DC1D5C" w:rsidRPr="00BA4CA0">
        <w:rPr>
          <w:position w:val="-28"/>
        </w:rPr>
        <w:object w:dxaOrig="4200" w:dyaOrig="660">
          <v:shape id="_x0000_i1026" type="#_x0000_t75" style="width:210pt;height:33pt" o:ole="">
            <v:imagedata r:id="rId15" o:title=""/>
          </v:shape>
          <o:OLEObject Type="Embed" ProgID="Equation.3" ShapeID="_x0000_i1026" DrawAspect="Content" ObjectID="_1453979906" r:id="rId16"/>
        </w:object>
      </w:r>
      <w:r w:rsidRPr="00BA4CA0">
        <w:tab/>
        <w:t>(</w:t>
      </w:r>
      <w:r w:rsidR="002051BF" w:rsidRPr="00BA4CA0">
        <w:t>2</w:t>
      </w:r>
      <w:r w:rsidRPr="00BA4CA0">
        <w:t>)</w:t>
      </w:r>
    </w:p>
    <w:p w:rsidR="00D07C57" w:rsidRPr="00BA4CA0" w:rsidRDefault="007377C6" w:rsidP="00BA4CA0">
      <w:pPr>
        <w:spacing w:before="120" w:after="200" w:line="276" w:lineRule="auto"/>
      </w:pPr>
      <w:r w:rsidRPr="00BA4CA0">
        <w:t xml:space="preserve">Typically when the identity of the solute and the </w:t>
      </w:r>
      <w:proofErr w:type="spellStart"/>
      <w:r w:rsidRPr="00BA4CA0">
        <w:rPr>
          <w:i/>
        </w:rPr>
        <w:t>k</w:t>
      </w:r>
      <w:r w:rsidRPr="00BA4CA0">
        <w:rPr>
          <w:vertAlign w:val="subscript"/>
        </w:rPr>
        <w:t>f</w:t>
      </w:r>
      <w:proofErr w:type="spellEnd"/>
      <w:r w:rsidRPr="00BA4CA0">
        <w:t xml:space="preserve"> of the solvent are known, the formula can be used to predict how much the freezing point will be depressed.   If however</w:t>
      </w:r>
      <w:r w:rsidR="00F40A94" w:rsidRPr="00BA4CA0">
        <w:t>,</w:t>
      </w:r>
      <w:r w:rsidRPr="00BA4CA0">
        <w:t xml:space="preserve"> you don’t know what the sol</w:t>
      </w:r>
      <w:r w:rsidR="00F40A94" w:rsidRPr="00BA4CA0">
        <w:t>ute</w:t>
      </w:r>
      <w:r w:rsidRPr="00BA4CA0">
        <w:t xml:space="preserve"> is but you know how much was added</w:t>
      </w:r>
      <w:r w:rsidR="00D07C57" w:rsidRPr="00BA4CA0">
        <w:t xml:space="preserve"> </w:t>
      </w:r>
      <w:r w:rsidRPr="00BA4CA0">
        <w:t xml:space="preserve">to a known amount of solvent </w:t>
      </w:r>
      <w:r w:rsidR="00F40A94" w:rsidRPr="00BA4CA0">
        <w:t xml:space="preserve">you can use the relationship between </w:t>
      </w:r>
      <w:proofErr w:type="spellStart"/>
      <w:r w:rsidR="00F40A94" w:rsidRPr="00BA4CA0">
        <w:t>ΔT</w:t>
      </w:r>
      <w:r w:rsidR="00F40A94" w:rsidRPr="00BA4CA0">
        <w:rPr>
          <w:vertAlign w:val="subscript"/>
        </w:rPr>
        <w:t>f</w:t>
      </w:r>
      <w:proofErr w:type="spellEnd"/>
      <w:r w:rsidR="00F40A94" w:rsidRPr="00BA4CA0">
        <w:t xml:space="preserve"> and molality </w:t>
      </w:r>
      <w:r w:rsidR="00D07C57" w:rsidRPr="00BA4CA0">
        <w:t>to determine the molar mass o</w:t>
      </w:r>
      <w:r w:rsidR="00435632" w:rsidRPr="00BA4CA0">
        <w:t xml:space="preserve">f </w:t>
      </w:r>
      <w:r w:rsidR="00F40A94" w:rsidRPr="00BA4CA0">
        <w:t>the</w:t>
      </w:r>
      <w:r w:rsidR="00435632" w:rsidRPr="00BA4CA0">
        <w:t xml:space="preserve"> unknown substance</w:t>
      </w:r>
      <w:r w:rsidR="008E35DE" w:rsidRPr="00BA4CA0">
        <w:t>.</w:t>
      </w:r>
      <w:r w:rsidR="00F40A94" w:rsidRPr="00BA4CA0">
        <w:t xml:space="preserve">  Since molar mass is calculated from the molecular formula, knowing the molar mass can help you identify the unknown.</w:t>
      </w:r>
    </w:p>
    <w:p w:rsidR="00EF4AA9" w:rsidRPr="00BA4CA0" w:rsidRDefault="00546093" w:rsidP="00BA4CA0">
      <w:pPr>
        <w:spacing w:before="120" w:after="200" w:line="276" w:lineRule="auto"/>
      </w:pPr>
      <w:r w:rsidRPr="00BA4CA0">
        <w:t>In this experiment, you will be asked to determine the molar mass of an unknown solute. The solvent</w:t>
      </w:r>
      <w:r w:rsidR="00D95570" w:rsidRPr="00BA4CA0">
        <w:t>,</w:t>
      </w:r>
      <w:r w:rsidRPr="00BA4CA0">
        <w:t xml:space="preserve"> </w:t>
      </w:r>
      <w:proofErr w:type="spellStart"/>
      <w:r w:rsidRPr="00BA4CA0">
        <w:rPr>
          <w:i/>
        </w:rPr>
        <w:t>tert</w:t>
      </w:r>
      <w:proofErr w:type="spellEnd"/>
      <w:r w:rsidR="00D95570" w:rsidRPr="00BA4CA0">
        <w:t>-butyl alcohol (TBA),</w:t>
      </w:r>
      <w:r w:rsidRPr="00BA4CA0">
        <w:t xml:space="preserve"> has a convenient melting point</w:t>
      </w:r>
      <w:r w:rsidR="004E6E87">
        <w:t xml:space="preserve"> (23-26 °C</w:t>
      </w:r>
      <w:proofErr w:type="gramStart"/>
      <w:r w:rsidR="004E6E87">
        <w:t>)</w:t>
      </w:r>
      <w:r w:rsidR="004E6E87">
        <w:rPr>
          <w:vertAlign w:val="superscript"/>
        </w:rPr>
        <w:t>1</w:t>
      </w:r>
      <w:proofErr w:type="gramEnd"/>
      <w:r w:rsidR="00D95570" w:rsidRPr="00BA4CA0">
        <w:t>,</w:t>
      </w:r>
      <w:r w:rsidRPr="00BA4CA0">
        <w:t xml:space="preserve"> and a moderately large value for </w:t>
      </w:r>
      <w:proofErr w:type="spellStart"/>
      <w:r w:rsidRPr="00BA4CA0">
        <w:rPr>
          <w:i/>
        </w:rPr>
        <w:t>k</w:t>
      </w:r>
      <w:r w:rsidRPr="00BA4CA0">
        <w:rPr>
          <w:vertAlign w:val="subscript"/>
        </w:rPr>
        <w:t>f</w:t>
      </w:r>
      <w:proofErr w:type="spellEnd"/>
      <w:r w:rsidRPr="00BA4CA0">
        <w:t>, 8.09</w:t>
      </w:r>
      <w:r w:rsidR="00B00739" w:rsidRPr="00BA4CA0">
        <w:t xml:space="preserve"> kg </w:t>
      </w:r>
      <w:r w:rsidR="00B00739" w:rsidRPr="00BA4CA0">
        <w:sym w:font="Symbol" w:char="F0D7"/>
      </w:r>
      <w:r w:rsidR="00B00739" w:rsidRPr="00BA4CA0">
        <w:t xml:space="preserve"> </w:t>
      </w:r>
      <w:r w:rsidR="00B00739" w:rsidRPr="00BA4CA0">
        <w:sym w:font="Symbol" w:char="F0B0"/>
      </w:r>
      <w:r w:rsidR="00B00739" w:rsidRPr="00BA4CA0">
        <w:t>C/mol.</w:t>
      </w:r>
      <w:r w:rsidR="004D2A1A" w:rsidRPr="00BA4CA0">
        <w:t xml:space="preserve"> The freezing points will be obtained by observing the rate at which the liquid cools over time and </w:t>
      </w:r>
      <w:r w:rsidR="00C03616" w:rsidRPr="00BA4CA0">
        <w:t>graphing</w:t>
      </w:r>
      <w:r w:rsidR="004D2A1A" w:rsidRPr="00BA4CA0">
        <w:t xml:space="preserve"> temperature vs. time.</w:t>
      </w:r>
    </w:p>
    <w:p w:rsidR="006606BE" w:rsidRPr="00D31975" w:rsidRDefault="00D31975" w:rsidP="00BA4CA0">
      <w:pPr>
        <w:spacing w:before="120" w:after="200" w:line="276" w:lineRule="auto"/>
        <w:rPr>
          <w:b/>
        </w:rPr>
      </w:pPr>
      <w:r>
        <w:rPr>
          <w:b/>
        </w:rPr>
        <w:t>Procedure</w:t>
      </w:r>
    </w:p>
    <w:p w:rsidR="006606BE" w:rsidRPr="00BA4CA0" w:rsidRDefault="006606BE" w:rsidP="00BA4CA0">
      <w:pPr>
        <w:spacing w:after="200" w:line="276" w:lineRule="auto"/>
      </w:pPr>
      <w:r w:rsidRPr="00BA4CA0">
        <w:t xml:space="preserve">Part A: Determination of Freezing Point of </w:t>
      </w:r>
      <w:proofErr w:type="spellStart"/>
      <w:r w:rsidR="00BD7BA0" w:rsidRPr="00BA4CA0">
        <w:rPr>
          <w:i/>
        </w:rPr>
        <w:t>tert</w:t>
      </w:r>
      <w:proofErr w:type="spellEnd"/>
      <w:r w:rsidR="00BD7BA0" w:rsidRPr="00BA4CA0">
        <w:t>-butyl alcohol</w:t>
      </w:r>
      <w:r w:rsidR="00945C6D" w:rsidRPr="00BA4CA0">
        <w:t xml:space="preserve"> (TBA)</w:t>
      </w:r>
    </w:p>
    <w:p w:rsidR="00945C6D" w:rsidRPr="00BA4CA0" w:rsidRDefault="00945C6D" w:rsidP="00BA4CA0">
      <w:pPr>
        <w:numPr>
          <w:ilvl w:val="0"/>
          <w:numId w:val="3"/>
        </w:numPr>
        <w:spacing w:after="200" w:line="276" w:lineRule="auto"/>
      </w:pPr>
      <w:r w:rsidRPr="00BA4CA0">
        <w:t>Carefully insert thermometer into one hole of the rubber stopper, unless this has already been done for you. Handle the thermometer with care when fitting it into the stopp</w:t>
      </w:r>
      <w:r w:rsidR="007847EF" w:rsidRPr="00BA4CA0">
        <w:t>er or adjusting its position, since</w:t>
      </w:r>
      <w:r w:rsidRPr="00BA4CA0">
        <w:t xml:space="preserve"> the thermometer is both fragile and expensive. </w:t>
      </w:r>
      <w:r w:rsidR="005654DF" w:rsidRPr="00BA4CA0">
        <w:t>If necessary, use glycerin.</w:t>
      </w:r>
    </w:p>
    <w:p w:rsidR="006606BE" w:rsidRPr="00BA4CA0" w:rsidRDefault="00B00739" w:rsidP="00BA4CA0">
      <w:pPr>
        <w:numPr>
          <w:ilvl w:val="0"/>
          <w:numId w:val="3"/>
        </w:numPr>
        <w:spacing w:after="200" w:line="276" w:lineRule="auto"/>
      </w:pPr>
      <w:r w:rsidRPr="00BA4CA0">
        <w:t xml:space="preserve">Place </w:t>
      </w:r>
      <w:r w:rsidR="00D073E8" w:rsidRPr="00BA4CA0">
        <w:t>a</w:t>
      </w:r>
      <w:r w:rsidRPr="00BA4CA0">
        <w:t xml:space="preserve"> test tube into the 250 mL beaker and tare. </w:t>
      </w:r>
      <w:r w:rsidR="004E6E87">
        <w:t xml:space="preserve">Add </w:t>
      </w:r>
      <w:r w:rsidR="006606BE" w:rsidRPr="00BA4CA0">
        <w:t>approximately 2</w:t>
      </w:r>
      <w:r w:rsidRPr="00BA4CA0">
        <w:t>5</w:t>
      </w:r>
      <w:r w:rsidR="00945C6D" w:rsidRPr="00BA4CA0">
        <w:t>.0</w:t>
      </w:r>
      <w:r w:rsidR="006606BE" w:rsidRPr="00BA4CA0">
        <w:t xml:space="preserve"> </w:t>
      </w:r>
      <w:r w:rsidRPr="00BA4CA0">
        <w:t>g</w:t>
      </w:r>
      <w:r w:rsidR="006606BE" w:rsidRPr="00BA4CA0">
        <w:t xml:space="preserve"> </w:t>
      </w:r>
      <w:proofErr w:type="spellStart"/>
      <w:r w:rsidR="00BD7BA0" w:rsidRPr="00BA4CA0">
        <w:rPr>
          <w:i/>
        </w:rPr>
        <w:t>tert</w:t>
      </w:r>
      <w:proofErr w:type="spellEnd"/>
      <w:r w:rsidR="00BD7BA0" w:rsidRPr="00BA4CA0">
        <w:t>-butyl alcohol</w:t>
      </w:r>
      <w:r w:rsidR="00B05B5E" w:rsidRPr="00BA4CA0">
        <w:t xml:space="preserve"> (TBA) </w:t>
      </w:r>
      <w:r w:rsidRPr="00BA4CA0">
        <w:t>in the test tube</w:t>
      </w:r>
      <w:r w:rsidR="004E6E87">
        <w:t xml:space="preserve"> and measure the mass</w:t>
      </w:r>
      <w:r w:rsidR="006606BE" w:rsidRPr="00BA4CA0">
        <w:t>.</w:t>
      </w:r>
      <w:r w:rsidR="00BD7BA0" w:rsidRPr="00BA4CA0">
        <w:t xml:space="preserve"> If </w:t>
      </w:r>
      <w:r w:rsidR="007847EF" w:rsidRPr="00BA4CA0">
        <w:t xml:space="preserve">the </w:t>
      </w:r>
      <w:r w:rsidR="007B27D5" w:rsidRPr="00BA4CA0">
        <w:t>liquid solidifies</w:t>
      </w:r>
      <w:r w:rsidR="00BD7BA0" w:rsidRPr="00BA4CA0">
        <w:t xml:space="preserve">, warm the </w:t>
      </w:r>
      <w:r w:rsidR="00B05B5E" w:rsidRPr="00BA4CA0">
        <w:t xml:space="preserve">TBA </w:t>
      </w:r>
      <w:r w:rsidR="00BD7BA0" w:rsidRPr="00BA4CA0">
        <w:t xml:space="preserve">by immersing the </w:t>
      </w:r>
      <w:r w:rsidRPr="00BA4CA0">
        <w:t>test tube</w:t>
      </w:r>
      <w:r w:rsidR="00BD7BA0" w:rsidRPr="00BA4CA0">
        <w:t xml:space="preserve"> in a </w:t>
      </w:r>
      <w:r w:rsidRPr="00BA4CA0">
        <w:t>beaker of warm tap water.</w:t>
      </w:r>
    </w:p>
    <w:p w:rsidR="0087776E" w:rsidRPr="00BA4CA0" w:rsidRDefault="00165A0E" w:rsidP="00BA4CA0">
      <w:pPr>
        <w:numPr>
          <w:ilvl w:val="0"/>
          <w:numId w:val="3"/>
        </w:numPr>
        <w:spacing w:after="200" w:line="276" w:lineRule="auto"/>
      </w:pPr>
      <w:r w:rsidRPr="00BA4CA0">
        <w:t xml:space="preserve">Stopper the test tube, making sure the stirring rod can move freely in the </w:t>
      </w:r>
      <w:r w:rsidR="00945C6D" w:rsidRPr="00BA4CA0">
        <w:t>second hole of the rubber stopper</w:t>
      </w:r>
      <w:r w:rsidRPr="00BA4CA0">
        <w:t xml:space="preserve">. </w:t>
      </w:r>
      <w:r w:rsidR="007B27D5" w:rsidRPr="00BA4CA0">
        <w:t>The reading</w:t>
      </w:r>
      <w:r w:rsidR="00073D83" w:rsidRPr="00BA4CA0">
        <w:t>s</w:t>
      </w:r>
      <w:r w:rsidR="007B27D5" w:rsidRPr="00BA4CA0">
        <w:t xml:space="preserve"> on the thermometer should be </w:t>
      </w:r>
      <w:r w:rsidRPr="00BA4CA0">
        <w:t xml:space="preserve">visible </w:t>
      </w:r>
      <w:r w:rsidR="00073D83" w:rsidRPr="00BA4CA0">
        <w:t>from</w:t>
      </w:r>
      <w:r w:rsidR="007B27D5" w:rsidRPr="00BA4CA0">
        <w:t xml:space="preserve"> </w:t>
      </w:r>
      <w:r w:rsidRPr="00BA4CA0">
        <w:t>35 °C</w:t>
      </w:r>
      <w:r w:rsidR="007B27D5" w:rsidRPr="00BA4CA0">
        <w:t xml:space="preserve"> </w:t>
      </w:r>
      <w:r w:rsidR="00073D83" w:rsidRPr="00BA4CA0">
        <w:t>to 10 °C</w:t>
      </w:r>
      <w:r w:rsidR="00D073E8" w:rsidRPr="00BA4CA0">
        <w:t xml:space="preserve"> when the tip is in the TBA</w:t>
      </w:r>
      <w:r w:rsidR="00945C6D" w:rsidRPr="00BA4CA0">
        <w:t>.</w:t>
      </w:r>
    </w:p>
    <w:p w:rsidR="00170246" w:rsidRPr="00BA4CA0" w:rsidRDefault="00C8317E" w:rsidP="00BA4CA0">
      <w:pPr>
        <w:numPr>
          <w:ilvl w:val="0"/>
          <w:numId w:val="3"/>
        </w:numPr>
        <w:spacing w:after="200" w:line="276" w:lineRule="auto"/>
      </w:pPr>
      <w:r w:rsidRPr="00BA4CA0">
        <w:lastRenderedPageBreak/>
        <w:t>Fill the 600 mL beaker with ice water</w:t>
      </w:r>
      <w:r w:rsidR="00170246" w:rsidRPr="00BA4CA0">
        <w:t xml:space="preserve"> (</w:t>
      </w:r>
      <w:r w:rsidR="00825B00">
        <w:t>5-</w:t>
      </w:r>
      <w:r w:rsidR="00170246" w:rsidRPr="00BA4CA0">
        <w:t>1</w:t>
      </w:r>
      <w:r w:rsidR="004E6E87">
        <w:t>5</w:t>
      </w:r>
      <w:r w:rsidR="00170246" w:rsidRPr="00BA4CA0">
        <w:t xml:space="preserve"> °C)</w:t>
      </w:r>
      <w:r w:rsidR="006938CE" w:rsidRPr="00BA4CA0">
        <w:t>.</w:t>
      </w:r>
      <w:r w:rsidRPr="00BA4CA0">
        <w:t xml:space="preserve"> </w:t>
      </w:r>
      <w:r w:rsidR="00170246" w:rsidRPr="00BA4CA0">
        <w:t>T</w:t>
      </w:r>
      <w:r w:rsidRPr="00BA4CA0">
        <w:t>he final water level should be within 1 cm of the top of the beaker</w:t>
      </w:r>
      <w:r w:rsidR="00786881" w:rsidRPr="00BA4CA0">
        <w:t>.</w:t>
      </w:r>
    </w:p>
    <w:p w:rsidR="00170246" w:rsidRPr="00BA4CA0" w:rsidRDefault="0087776E" w:rsidP="00BA4CA0">
      <w:pPr>
        <w:numPr>
          <w:ilvl w:val="0"/>
          <w:numId w:val="3"/>
        </w:numPr>
        <w:spacing w:after="200" w:line="276" w:lineRule="auto"/>
      </w:pPr>
      <w:r w:rsidRPr="00BA4CA0">
        <w:t xml:space="preserve">Fill the 250 mL beaker with </w:t>
      </w:r>
      <w:r w:rsidR="00170246" w:rsidRPr="00BA4CA0">
        <w:t xml:space="preserve">200 mL </w:t>
      </w:r>
      <w:r w:rsidRPr="00BA4CA0">
        <w:t xml:space="preserve">hot tap water </w:t>
      </w:r>
      <w:r w:rsidR="00170246" w:rsidRPr="00BA4CA0">
        <w:t>(approximately 37 °</w:t>
      </w:r>
      <w:proofErr w:type="gramStart"/>
      <w:r w:rsidR="00170246" w:rsidRPr="00BA4CA0">
        <w:t>C )</w:t>
      </w:r>
      <w:proofErr w:type="gramEnd"/>
      <w:r w:rsidR="00170246" w:rsidRPr="00BA4CA0">
        <w:t xml:space="preserve">. </w:t>
      </w:r>
    </w:p>
    <w:p w:rsidR="0087776E" w:rsidRPr="00BA4CA0" w:rsidRDefault="00170246" w:rsidP="00BA4CA0">
      <w:pPr>
        <w:numPr>
          <w:ilvl w:val="0"/>
          <w:numId w:val="3"/>
        </w:numPr>
        <w:spacing w:after="200" w:line="276" w:lineRule="auto"/>
      </w:pPr>
      <w:r w:rsidRPr="00BA4CA0">
        <w:t>W</w:t>
      </w:r>
      <w:r w:rsidR="0087776E" w:rsidRPr="00BA4CA0">
        <w:t>arm the test tube</w:t>
      </w:r>
      <w:r w:rsidRPr="00BA4CA0">
        <w:t xml:space="preserve"> by immersing it in the hot tap water</w:t>
      </w:r>
      <w:r w:rsidR="00C8317E" w:rsidRPr="00BA4CA0">
        <w:t xml:space="preserve">, </w:t>
      </w:r>
      <w:r w:rsidRPr="00BA4CA0">
        <w:t>making certain the TBA in the test tube is completely submerged in the hot water. Stir</w:t>
      </w:r>
      <w:r w:rsidR="00C8317E" w:rsidRPr="00BA4CA0">
        <w:t xml:space="preserve"> occasionally</w:t>
      </w:r>
      <w:r w:rsidRPr="00BA4CA0">
        <w:t xml:space="preserve"> with the glass rod</w:t>
      </w:r>
      <w:r w:rsidR="0087776E" w:rsidRPr="00BA4CA0">
        <w:t xml:space="preserve"> until the temperature </w:t>
      </w:r>
      <w:r w:rsidRPr="00BA4CA0">
        <w:t xml:space="preserve">of the TBA reads approximately </w:t>
      </w:r>
      <w:r w:rsidR="0087776E" w:rsidRPr="00BA4CA0">
        <w:t>37 °C.</w:t>
      </w:r>
    </w:p>
    <w:p w:rsidR="00165A0E" w:rsidRPr="00BA4CA0" w:rsidRDefault="00C8317E" w:rsidP="00BA4CA0">
      <w:pPr>
        <w:numPr>
          <w:ilvl w:val="0"/>
          <w:numId w:val="3"/>
        </w:numPr>
        <w:spacing w:after="200" w:line="276" w:lineRule="auto"/>
      </w:pPr>
      <w:r w:rsidRPr="00BA4CA0">
        <w:t>Place the</w:t>
      </w:r>
      <w:r w:rsidR="00CB3645" w:rsidRPr="00BA4CA0">
        <w:t xml:space="preserve"> 600 mL</w:t>
      </w:r>
      <w:r w:rsidRPr="00BA4CA0">
        <w:t xml:space="preserve"> beaker </w:t>
      </w:r>
      <w:r w:rsidR="00DD1DF2" w:rsidRPr="00BA4CA0">
        <w:t xml:space="preserve">of ice water </w:t>
      </w:r>
      <w:r w:rsidR="00CB3645" w:rsidRPr="00BA4CA0">
        <w:t>on the base of a</w:t>
      </w:r>
      <w:r w:rsidRPr="00BA4CA0">
        <w:t xml:space="preserve"> ring stand</w:t>
      </w:r>
      <w:r w:rsidR="00CB3645" w:rsidRPr="00BA4CA0">
        <w:t>. C</w:t>
      </w:r>
      <w:r w:rsidRPr="00BA4CA0">
        <w:t xml:space="preserve">lamp the test tube into place so that the test tube is immersed as far as possible into the </w:t>
      </w:r>
      <w:r w:rsidR="00CB3645" w:rsidRPr="00BA4CA0">
        <w:t xml:space="preserve">ice </w:t>
      </w:r>
      <w:r w:rsidRPr="00BA4CA0">
        <w:t>water.</w:t>
      </w:r>
    </w:p>
    <w:p w:rsidR="00C8317E" w:rsidRPr="00BA4CA0" w:rsidRDefault="00DD1DF2" w:rsidP="00BA4CA0">
      <w:pPr>
        <w:numPr>
          <w:ilvl w:val="0"/>
          <w:numId w:val="3"/>
        </w:numPr>
        <w:spacing w:after="200" w:line="276" w:lineRule="auto"/>
      </w:pPr>
      <w:r w:rsidRPr="00BA4CA0">
        <w:t>Stir</w:t>
      </w:r>
      <w:r w:rsidR="00CB3645" w:rsidRPr="00BA4CA0">
        <w:t xml:space="preserve"> </w:t>
      </w:r>
      <w:r w:rsidR="00CB3645" w:rsidRPr="00BA4CA0">
        <w:rPr>
          <w:i/>
        </w:rPr>
        <w:t>continuously</w:t>
      </w:r>
      <w:r w:rsidR="00CB3645" w:rsidRPr="00BA4CA0">
        <w:t xml:space="preserve"> with the glass rod.</w:t>
      </w:r>
      <w:r w:rsidRPr="00BA4CA0">
        <w:t xml:space="preserve"> </w:t>
      </w:r>
      <w:r w:rsidR="00CB3645" w:rsidRPr="00BA4CA0">
        <w:t>T</w:t>
      </w:r>
      <w:r w:rsidRPr="00BA4CA0">
        <w:t>he stirring keeps the temperature</w:t>
      </w:r>
      <w:r w:rsidR="00EB2865" w:rsidRPr="00BA4CA0">
        <w:t xml:space="preserve"> constant throughout the liquid and prevents </w:t>
      </w:r>
      <w:proofErr w:type="spellStart"/>
      <w:r w:rsidR="00EB2865" w:rsidRPr="00BA4CA0">
        <w:t>supercooling</w:t>
      </w:r>
      <w:proofErr w:type="spellEnd"/>
      <w:r w:rsidR="00EB2865" w:rsidRPr="00BA4CA0">
        <w:t xml:space="preserve"> </w:t>
      </w:r>
      <w:r w:rsidR="009F2F6A" w:rsidRPr="00BA4CA0">
        <w:t>(the cooling</w:t>
      </w:r>
      <w:r w:rsidR="00EB2865" w:rsidRPr="00BA4CA0">
        <w:t xml:space="preserve"> of a liquid below its freezing point without it</w:t>
      </w:r>
      <w:r w:rsidR="009F2F6A" w:rsidRPr="00BA4CA0">
        <w:t xml:space="preserve"> becoming a solid). </w:t>
      </w:r>
    </w:p>
    <w:p w:rsidR="00DD1DF2" w:rsidRPr="00BA4CA0" w:rsidRDefault="00CB3645" w:rsidP="00BA4CA0">
      <w:pPr>
        <w:numPr>
          <w:ilvl w:val="0"/>
          <w:numId w:val="3"/>
        </w:numPr>
        <w:spacing w:after="200" w:line="276" w:lineRule="auto"/>
      </w:pPr>
      <w:r w:rsidRPr="00BA4CA0">
        <w:t xml:space="preserve">When the temperature reaches </w:t>
      </w:r>
      <w:r w:rsidRPr="00BA4CA0">
        <w:rPr>
          <w:b/>
        </w:rPr>
        <w:t>35 ºC</w:t>
      </w:r>
      <w:r w:rsidRPr="00BA4CA0">
        <w:t>, begin r</w:t>
      </w:r>
      <w:r w:rsidR="00DD1DF2" w:rsidRPr="00BA4CA0">
        <w:t>ecord</w:t>
      </w:r>
      <w:r w:rsidRPr="00BA4CA0">
        <w:t>ing</w:t>
      </w:r>
      <w:r w:rsidR="00DD1DF2" w:rsidRPr="00BA4CA0">
        <w:t xml:space="preserve"> the temperature every 30 seconds for 8 minutes. The temperature will </w:t>
      </w:r>
      <w:r w:rsidR="00DE6A70" w:rsidRPr="00BA4CA0">
        <w:t>start</w:t>
      </w:r>
      <w:r w:rsidR="009F2F6A" w:rsidRPr="00BA4CA0">
        <w:t xml:space="preserve"> to become </w:t>
      </w:r>
      <w:r w:rsidR="00DD1DF2" w:rsidRPr="00BA4CA0">
        <w:t xml:space="preserve">level </w:t>
      </w:r>
      <w:r w:rsidR="009F2F6A" w:rsidRPr="00BA4CA0">
        <w:t>near</w:t>
      </w:r>
      <w:r w:rsidR="00DD1DF2" w:rsidRPr="00BA4CA0">
        <w:t xml:space="preserve"> the freezing point.</w:t>
      </w:r>
    </w:p>
    <w:p w:rsidR="00DD1DF2" w:rsidRPr="00BA4CA0" w:rsidRDefault="00850010" w:rsidP="00BA4CA0">
      <w:pPr>
        <w:numPr>
          <w:ilvl w:val="0"/>
          <w:numId w:val="3"/>
        </w:numPr>
        <w:spacing w:after="200" w:line="276" w:lineRule="auto"/>
      </w:pPr>
      <w:r w:rsidRPr="00BA4CA0">
        <w:t>W</w:t>
      </w:r>
      <w:r w:rsidR="00E84D09" w:rsidRPr="00BA4CA0">
        <w:t>arm the test tube using</w:t>
      </w:r>
      <w:r w:rsidR="00DD1DF2" w:rsidRPr="00BA4CA0">
        <w:t xml:space="preserve"> hot water</w:t>
      </w:r>
      <w:r w:rsidR="00E84D09" w:rsidRPr="00BA4CA0">
        <w:t>,</w:t>
      </w:r>
      <w:r w:rsidR="00DD1DF2" w:rsidRPr="00BA4CA0">
        <w:t xml:space="preserve"> until </w:t>
      </w:r>
      <w:r w:rsidRPr="00BA4CA0">
        <w:t xml:space="preserve">it is possible to </w:t>
      </w:r>
      <w:r w:rsidR="00E84D09" w:rsidRPr="00BA4CA0">
        <w:t xml:space="preserve">safely </w:t>
      </w:r>
      <w:r w:rsidRPr="00BA4CA0">
        <w:t xml:space="preserve">remove </w:t>
      </w:r>
      <w:r w:rsidR="00DD1DF2" w:rsidRPr="00BA4CA0">
        <w:t xml:space="preserve">the </w:t>
      </w:r>
      <w:r w:rsidRPr="00BA4CA0">
        <w:t>thermometer and stirring rod</w:t>
      </w:r>
      <w:r w:rsidR="00E84D09" w:rsidRPr="00BA4CA0">
        <w:t xml:space="preserve">. </w:t>
      </w:r>
      <w:r w:rsidR="00E84D09" w:rsidRPr="00BA4CA0">
        <w:rPr>
          <w:b/>
        </w:rPr>
        <w:t>S</w:t>
      </w:r>
      <w:r w:rsidRPr="00BA4CA0">
        <w:rPr>
          <w:b/>
        </w:rPr>
        <w:t>ave</w:t>
      </w:r>
      <w:r w:rsidR="00E84D09" w:rsidRPr="00BA4CA0">
        <w:rPr>
          <w:b/>
        </w:rPr>
        <w:t xml:space="preserve"> the TBA</w:t>
      </w:r>
      <w:r w:rsidRPr="00BA4CA0">
        <w:rPr>
          <w:b/>
        </w:rPr>
        <w:t xml:space="preserve"> for Part B</w:t>
      </w:r>
      <w:r w:rsidRPr="00BA4CA0">
        <w:t>.</w:t>
      </w:r>
    </w:p>
    <w:p w:rsidR="00850010" w:rsidRPr="004E6E87" w:rsidRDefault="00850010" w:rsidP="00BA4CA0">
      <w:pPr>
        <w:spacing w:before="120" w:after="200" w:line="276" w:lineRule="auto"/>
      </w:pPr>
      <w:r w:rsidRPr="004E6E87">
        <w:t>Part B: Determination of the Molar Mass of an Unknown Compound</w:t>
      </w:r>
    </w:p>
    <w:p w:rsidR="00850010" w:rsidRPr="00BA4CA0" w:rsidRDefault="00850010" w:rsidP="00BA4CA0">
      <w:pPr>
        <w:numPr>
          <w:ilvl w:val="0"/>
          <w:numId w:val="5"/>
        </w:numPr>
        <w:spacing w:after="200" w:line="276" w:lineRule="auto"/>
      </w:pPr>
      <w:r w:rsidRPr="00BA4CA0">
        <w:t>Measure approximately 1.0 g</w:t>
      </w:r>
      <w:r w:rsidR="00190B61" w:rsidRPr="00BA4CA0">
        <w:t xml:space="preserve"> of unknown </w:t>
      </w:r>
      <w:r w:rsidR="00F3007C" w:rsidRPr="00BA4CA0">
        <w:t xml:space="preserve">solid </w:t>
      </w:r>
      <w:r w:rsidR="00190B61" w:rsidRPr="00BA4CA0">
        <w:t>and record the</w:t>
      </w:r>
      <w:r w:rsidR="00C67FE0" w:rsidRPr="00BA4CA0">
        <w:t xml:space="preserve"> mass. T</w:t>
      </w:r>
      <w:r w:rsidRPr="00BA4CA0">
        <w:t xml:space="preserve">ransfer the sample into the test tube of </w:t>
      </w:r>
      <w:r w:rsidR="00B05B5E" w:rsidRPr="00BA4CA0">
        <w:rPr>
          <w:b/>
        </w:rPr>
        <w:t xml:space="preserve">TBA </w:t>
      </w:r>
      <w:r w:rsidRPr="00BA4CA0">
        <w:rPr>
          <w:b/>
        </w:rPr>
        <w:t>saved from Part A</w:t>
      </w:r>
      <w:r w:rsidR="00577197" w:rsidRPr="00BA4CA0">
        <w:t xml:space="preserve"> and dissolve completely</w:t>
      </w:r>
      <w:r w:rsidRPr="00BA4CA0">
        <w:t>.</w:t>
      </w:r>
      <w:r w:rsidR="00C67FE0" w:rsidRPr="00BA4CA0">
        <w:t xml:space="preserve"> </w:t>
      </w:r>
      <w:r w:rsidR="004E6E87">
        <w:t>Using t</w:t>
      </w:r>
      <w:r w:rsidR="00C67FE0" w:rsidRPr="00BA4CA0">
        <w:t>his solution</w:t>
      </w:r>
      <w:r w:rsidR="008B2991" w:rsidRPr="00BA4CA0">
        <w:t xml:space="preserve"> (solution 1)</w:t>
      </w:r>
      <w:r w:rsidR="00C67FE0" w:rsidRPr="00BA4CA0">
        <w:t xml:space="preserve"> </w:t>
      </w:r>
      <w:r w:rsidR="00C927AB">
        <w:t>repeat steps 3-9 from Part A</w:t>
      </w:r>
    </w:p>
    <w:p w:rsidR="00190B61" w:rsidRPr="00BA4CA0" w:rsidRDefault="00190B61" w:rsidP="00BA4CA0">
      <w:pPr>
        <w:numPr>
          <w:ilvl w:val="0"/>
          <w:numId w:val="5"/>
        </w:numPr>
        <w:spacing w:after="200" w:line="276" w:lineRule="auto"/>
      </w:pPr>
      <w:r w:rsidRPr="00BA4CA0">
        <w:t>After completion of the trial, warm the test tube with hot water until the solution has melted completely and save for the next step.</w:t>
      </w:r>
    </w:p>
    <w:p w:rsidR="00190B61" w:rsidRPr="00BA4CA0" w:rsidRDefault="008D30C5" w:rsidP="00BA4CA0">
      <w:pPr>
        <w:numPr>
          <w:ilvl w:val="0"/>
          <w:numId w:val="5"/>
        </w:numPr>
        <w:spacing w:after="200" w:line="276" w:lineRule="auto"/>
        <w:ind w:right="184"/>
      </w:pPr>
      <w:r w:rsidRPr="00BA4CA0">
        <w:t xml:space="preserve">Measure an additional 1.0 g of unknown solid and record its mass. </w:t>
      </w:r>
      <w:r w:rsidR="00C92D75" w:rsidRPr="00BA4CA0">
        <w:t xml:space="preserve"> </w:t>
      </w:r>
      <w:r w:rsidRPr="00BA4CA0">
        <w:t>Transfer the secon</w:t>
      </w:r>
      <w:r w:rsidR="00736EF5" w:rsidRPr="00BA4CA0">
        <w:t>d sample of unknown into the tes</w:t>
      </w:r>
      <w:r w:rsidRPr="00BA4CA0">
        <w:t>t tube from the previous step</w:t>
      </w:r>
      <w:r w:rsidR="00D060DB" w:rsidRPr="00BA4CA0">
        <w:t xml:space="preserve"> and </w:t>
      </w:r>
      <w:r w:rsidR="00577197" w:rsidRPr="00BA4CA0">
        <w:t xml:space="preserve">dissolve completely. </w:t>
      </w:r>
      <w:r w:rsidR="00C92D75" w:rsidRPr="00BA4CA0">
        <w:t xml:space="preserve"> </w:t>
      </w:r>
      <w:r w:rsidR="00C927AB">
        <w:t>Repeat steps 3-9 from Part A</w:t>
      </w:r>
      <w:r w:rsidR="008B2991" w:rsidRPr="00BA4CA0">
        <w:t xml:space="preserve"> using this solution (solution 2)</w:t>
      </w:r>
      <w:r w:rsidR="00764BE6">
        <w:t xml:space="preserve"> with the following change</w:t>
      </w:r>
      <w:r w:rsidR="00C92D75" w:rsidRPr="00BA4CA0">
        <w:t xml:space="preserve">.  </w:t>
      </w:r>
      <w:r w:rsidR="00D060DB" w:rsidRPr="00BA4CA0">
        <w:t xml:space="preserve">For this trial, begin recording data when the temperature reaches </w:t>
      </w:r>
      <w:r w:rsidR="00D060DB" w:rsidRPr="00BA4CA0">
        <w:rPr>
          <w:b/>
        </w:rPr>
        <w:t>33 ºC</w:t>
      </w:r>
      <w:r w:rsidR="00D060DB" w:rsidRPr="00BA4CA0">
        <w:t xml:space="preserve">. </w:t>
      </w:r>
    </w:p>
    <w:p w:rsidR="009017C7" w:rsidRDefault="009017C7" w:rsidP="00BA4CA0">
      <w:pPr>
        <w:spacing w:before="120" w:after="200" w:line="276" w:lineRule="auto"/>
        <w:rPr>
          <w:b/>
        </w:rPr>
      </w:pPr>
      <w:r>
        <w:rPr>
          <w:b/>
        </w:rPr>
        <w:t>Data Collection</w:t>
      </w:r>
    </w:p>
    <w:p w:rsidR="009017C7" w:rsidRDefault="009017C7" w:rsidP="00BA4CA0">
      <w:pPr>
        <w:spacing w:before="120" w:after="200" w:line="276" w:lineRule="auto"/>
      </w:pPr>
      <w:r>
        <w:t>Copy tables 1 and 2 into your notebook.  Be sure that the entire table is on one page.</w:t>
      </w:r>
    </w:p>
    <w:p w:rsidR="00EF6473" w:rsidRPr="00AE2F06" w:rsidRDefault="00EF6473" w:rsidP="00C34EB5">
      <w:pPr>
        <w:spacing w:before="120"/>
        <w:ind w:left="180"/>
        <w:jc w:val="both"/>
      </w:pPr>
      <w:proofErr w:type="gramStart"/>
      <w:r>
        <w:rPr>
          <w:b/>
        </w:rPr>
        <w:t>Table 1.</w:t>
      </w:r>
      <w:proofErr w:type="gramEnd"/>
      <w:r>
        <w:t xml:space="preserve"> Masses used for freezing point de</w:t>
      </w:r>
      <w:r w:rsidR="00C34EB5">
        <w:t>terminations</w:t>
      </w:r>
      <w:r>
        <w:t>.</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8"/>
        <w:gridCol w:w="2949"/>
      </w:tblGrid>
      <w:tr w:rsidR="00EF6473" w:rsidTr="00C34EB5">
        <w:trPr>
          <w:trHeight w:val="288"/>
          <w:jc w:val="center"/>
        </w:trPr>
        <w:tc>
          <w:tcPr>
            <w:tcW w:w="6298" w:type="dxa"/>
            <w:vAlign w:val="center"/>
          </w:tcPr>
          <w:p w:rsidR="00EF6473" w:rsidRDefault="00EF6473" w:rsidP="004E6E87">
            <w:pPr>
              <w:spacing w:before="20" w:after="20"/>
            </w:pPr>
            <w:proofErr w:type="spellStart"/>
            <w:r w:rsidRPr="00D31F33">
              <w:rPr>
                <w:i/>
              </w:rPr>
              <w:t>tert</w:t>
            </w:r>
            <w:proofErr w:type="spellEnd"/>
            <w:r>
              <w:t>-butyl alcohol (g)</w:t>
            </w:r>
          </w:p>
        </w:tc>
        <w:tc>
          <w:tcPr>
            <w:tcW w:w="2949" w:type="dxa"/>
            <w:vAlign w:val="center"/>
          </w:tcPr>
          <w:p w:rsidR="00EF6473" w:rsidRDefault="00EF6473" w:rsidP="004E6E87">
            <w:pPr>
              <w:spacing w:before="20" w:after="20"/>
              <w:jc w:val="center"/>
            </w:pPr>
          </w:p>
        </w:tc>
      </w:tr>
      <w:tr w:rsidR="00EF6473" w:rsidTr="00C34EB5">
        <w:trPr>
          <w:trHeight w:val="288"/>
          <w:jc w:val="center"/>
        </w:trPr>
        <w:tc>
          <w:tcPr>
            <w:tcW w:w="6298" w:type="dxa"/>
            <w:vAlign w:val="center"/>
          </w:tcPr>
          <w:p w:rsidR="00EF6473" w:rsidRDefault="00EF6473" w:rsidP="004E6E87">
            <w:pPr>
              <w:spacing w:before="20" w:after="20"/>
            </w:pPr>
            <w:r>
              <w:t xml:space="preserve">unknown </w:t>
            </w:r>
            <w:r w:rsidR="00C34EB5" w:rsidRPr="00C34EB5">
              <w:rPr>
                <w:i/>
              </w:rPr>
              <w:t>(your letter)</w:t>
            </w:r>
            <w:r w:rsidR="00C34EB5">
              <w:t xml:space="preserve"> </w:t>
            </w:r>
            <w:r>
              <w:t>solute in solution 1 (g)</w:t>
            </w:r>
          </w:p>
        </w:tc>
        <w:tc>
          <w:tcPr>
            <w:tcW w:w="2949" w:type="dxa"/>
            <w:vAlign w:val="center"/>
          </w:tcPr>
          <w:p w:rsidR="00EF6473" w:rsidRDefault="00EF6473" w:rsidP="004E6E87">
            <w:pPr>
              <w:spacing w:before="20" w:after="20"/>
              <w:jc w:val="center"/>
            </w:pPr>
          </w:p>
        </w:tc>
      </w:tr>
      <w:tr w:rsidR="00EF6473" w:rsidTr="00C34EB5">
        <w:trPr>
          <w:trHeight w:val="288"/>
          <w:jc w:val="center"/>
        </w:trPr>
        <w:tc>
          <w:tcPr>
            <w:tcW w:w="6298" w:type="dxa"/>
            <w:vAlign w:val="center"/>
          </w:tcPr>
          <w:p w:rsidR="00EF6473" w:rsidRDefault="00EF6473" w:rsidP="004E6E87">
            <w:pPr>
              <w:spacing w:before="20" w:after="20"/>
            </w:pPr>
            <w:r>
              <w:t xml:space="preserve">additional unknown </w:t>
            </w:r>
            <w:r w:rsidR="00C34EB5" w:rsidRPr="00C34EB5">
              <w:rPr>
                <w:i/>
              </w:rPr>
              <w:t>(your letter)</w:t>
            </w:r>
            <w:r w:rsidR="00C34EB5">
              <w:t xml:space="preserve"> </w:t>
            </w:r>
            <w:r>
              <w:t>solute added to solution 2 (g)</w:t>
            </w:r>
          </w:p>
        </w:tc>
        <w:tc>
          <w:tcPr>
            <w:tcW w:w="2949" w:type="dxa"/>
            <w:vAlign w:val="center"/>
          </w:tcPr>
          <w:p w:rsidR="00EF6473" w:rsidRDefault="00EF6473" w:rsidP="004E6E87">
            <w:pPr>
              <w:spacing w:before="20" w:after="20"/>
              <w:jc w:val="center"/>
            </w:pPr>
          </w:p>
        </w:tc>
      </w:tr>
    </w:tbl>
    <w:p w:rsidR="00EF6473" w:rsidRDefault="00EF6473" w:rsidP="00EF6473">
      <w:pPr>
        <w:ind w:left="720"/>
        <w:jc w:val="both"/>
        <w:rPr>
          <w:b/>
        </w:rPr>
      </w:pPr>
    </w:p>
    <w:p w:rsidR="00F23273" w:rsidRDefault="00F23273">
      <w:pPr>
        <w:rPr>
          <w:b/>
        </w:rPr>
      </w:pPr>
      <w:r>
        <w:rPr>
          <w:b/>
        </w:rPr>
        <w:br w:type="page"/>
      </w:r>
    </w:p>
    <w:p w:rsidR="00EF6473" w:rsidRPr="00AC01E7" w:rsidRDefault="00EF6473" w:rsidP="00EF6473">
      <w:pPr>
        <w:ind w:left="360"/>
        <w:jc w:val="both"/>
      </w:pPr>
      <w:proofErr w:type="gramStart"/>
      <w:r w:rsidRPr="00AC01E7">
        <w:rPr>
          <w:b/>
        </w:rPr>
        <w:lastRenderedPageBreak/>
        <w:t xml:space="preserve">Table </w:t>
      </w:r>
      <w:r>
        <w:rPr>
          <w:b/>
        </w:rPr>
        <w:t>2.</w:t>
      </w:r>
      <w:proofErr w:type="gramEnd"/>
      <w:r>
        <w:t xml:space="preserve"> </w:t>
      </w:r>
      <w:proofErr w:type="gramStart"/>
      <w:r>
        <w:t xml:space="preserve">Freezing point of pure </w:t>
      </w:r>
      <w:proofErr w:type="spellStart"/>
      <w:r>
        <w:rPr>
          <w:i/>
        </w:rPr>
        <w:t>tert</w:t>
      </w:r>
      <w:proofErr w:type="spellEnd"/>
      <w:r>
        <w:t>-butyl alcohol, solutions 1 and 2.</w:t>
      </w:r>
      <w:proofErr w:type="gramEnd"/>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640"/>
        <w:gridCol w:w="2160"/>
        <w:gridCol w:w="2160"/>
      </w:tblGrid>
      <w:tr w:rsidR="00EF6473" w:rsidTr="00EF6473">
        <w:trPr>
          <w:trHeight w:val="720"/>
          <w:jc w:val="center"/>
        </w:trPr>
        <w:tc>
          <w:tcPr>
            <w:tcW w:w="2040" w:type="dxa"/>
            <w:vAlign w:val="center"/>
          </w:tcPr>
          <w:p w:rsidR="00EF6473" w:rsidRPr="00E01936" w:rsidRDefault="00EF6473" w:rsidP="004E6E87">
            <w:pPr>
              <w:jc w:val="center"/>
            </w:pPr>
            <w:r>
              <w:t>t</w:t>
            </w:r>
            <w:r w:rsidRPr="00E01936">
              <w:t>ime (s)</w:t>
            </w:r>
          </w:p>
        </w:tc>
        <w:tc>
          <w:tcPr>
            <w:tcW w:w="2640" w:type="dxa"/>
            <w:vAlign w:val="center"/>
          </w:tcPr>
          <w:p w:rsidR="00EF6473" w:rsidRPr="00E01936" w:rsidRDefault="00EF6473" w:rsidP="004E6E87">
            <w:pPr>
              <w:jc w:val="center"/>
            </w:pPr>
            <w:r>
              <w:t>t</w:t>
            </w:r>
            <w:r w:rsidRPr="00E01936">
              <w:t>emperature of</w:t>
            </w:r>
          </w:p>
          <w:p w:rsidR="00EF6473" w:rsidRPr="00E01936" w:rsidRDefault="00EF6473" w:rsidP="004E6E87">
            <w:pPr>
              <w:jc w:val="center"/>
            </w:pPr>
            <w:proofErr w:type="spellStart"/>
            <w:r w:rsidRPr="00D31F33">
              <w:rPr>
                <w:i/>
              </w:rPr>
              <w:t>tert</w:t>
            </w:r>
            <w:proofErr w:type="spellEnd"/>
            <w:r w:rsidRPr="00E01936">
              <w:t xml:space="preserve">-butyl </w:t>
            </w:r>
            <w:r>
              <w:t>a</w:t>
            </w:r>
            <w:r w:rsidRPr="00E01936">
              <w:t>lcohol (</w:t>
            </w:r>
            <w:r w:rsidRPr="00D31F33">
              <w:sym w:font="Symbol" w:char="F0B0"/>
            </w:r>
            <w:r w:rsidRPr="00E01936">
              <w:t>C)</w:t>
            </w:r>
          </w:p>
        </w:tc>
        <w:tc>
          <w:tcPr>
            <w:tcW w:w="2160" w:type="dxa"/>
            <w:vAlign w:val="center"/>
          </w:tcPr>
          <w:p w:rsidR="00EF6473" w:rsidRPr="00E01936" w:rsidRDefault="00EF6473" w:rsidP="004E6E87">
            <w:pPr>
              <w:jc w:val="center"/>
            </w:pPr>
            <w:r>
              <w:t>t</w:t>
            </w:r>
            <w:r w:rsidRPr="00E01936">
              <w:t xml:space="preserve">emperature of </w:t>
            </w:r>
            <w:r>
              <w:t>s</w:t>
            </w:r>
            <w:r w:rsidRPr="00E01936">
              <w:t>olution 1 (</w:t>
            </w:r>
            <w:r w:rsidRPr="00D31F33">
              <w:sym w:font="Symbol" w:char="F0B0"/>
            </w:r>
            <w:r w:rsidRPr="00E01936">
              <w:t>C)</w:t>
            </w:r>
          </w:p>
        </w:tc>
        <w:tc>
          <w:tcPr>
            <w:tcW w:w="2160" w:type="dxa"/>
            <w:vAlign w:val="center"/>
          </w:tcPr>
          <w:p w:rsidR="00EF6473" w:rsidRPr="00E01936" w:rsidRDefault="00EF6473" w:rsidP="004E6E87">
            <w:pPr>
              <w:jc w:val="center"/>
            </w:pPr>
            <w:r>
              <w:t>t</w:t>
            </w:r>
            <w:r w:rsidRPr="00E01936">
              <w:t xml:space="preserve">emperature of </w:t>
            </w:r>
            <w:r>
              <w:t>s</w:t>
            </w:r>
            <w:r w:rsidRPr="00E01936">
              <w:t>olution 2 (</w:t>
            </w:r>
            <w:r w:rsidRPr="00D31F33">
              <w:sym w:font="Symbol" w:char="F0B0"/>
            </w:r>
            <w:r w:rsidRPr="00E01936">
              <w:t>C)</w:t>
            </w:r>
          </w:p>
        </w:tc>
      </w:tr>
      <w:tr w:rsidR="00EF6473" w:rsidTr="00EF6473">
        <w:trPr>
          <w:trHeight w:val="432"/>
          <w:jc w:val="center"/>
        </w:trPr>
        <w:tc>
          <w:tcPr>
            <w:tcW w:w="2040" w:type="dxa"/>
            <w:vAlign w:val="center"/>
          </w:tcPr>
          <w:p w:rsidR="00EF6473" w:rsidRDefault="00EF6473" w:rsidP="004E6E87">
            <w:pPr>
              <w:jc w:val="center"/>
            </w:pPr>
            <w:r>
              <w:t>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30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60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90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120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150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180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210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240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270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300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330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360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390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420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450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r w:rsidR="00EF6473" w:rsidTr="00EF6473">
        <w:trPr>
          <w:trHeight w:val="432"/>
          <w:jc w:val="center"/>
        </w:trPr>
        <w:tc>
          <w:tcPr>
            <w:tcW w:w="2040" w:type="dxa"/>
            <w:vAlign w:val="center"/>
          </w:tcPr>
          <w:p w:rsidR="00EF6473" w:rsidRDefault="00EF6473" w:rsidP="004E6E87">
            <w:pPr>
              <w:jc w:val="center"/>
            </w:pPr>
            <w:r>
              <w:t>480</w:t>
            </w:r>
          </w:p>
        </w:tc>
        <w:tc>
          <w:tcPr>
            <w:tcW w:w="2640" w:type="dxa"/>
            <w:vAlign w:val="center"/>
          </w:tcPr>
          <w:p w:rsidR="00EF6473" w:rsidRDefault="00EF6473" w:rsidP="004E6E87">
            <w:pPr>
              <w:jc w:val="center"/>
            </w:pPr>
          </w:p>
        </w:tc>
        <w:tc>
          <w:tcPr>
            <w:tcW w:w="2160" w:type="dxa"/>
            <w:vAlign w:val="center"/>
          </w:tcPr>
          <w:p w:rsidR="00EF6473" w:rsidRDefault="00EF6473" w:rsidP="004E6E87">
            <w:pPr>
              <w:jc w:val="center"/>
            </w:pPr>
          </w:p>
        </w:tc>
        <w:tc>
          <w:tcPr>
            <w:tcW w:w="2160" w:type="dxa"/>
            <w:vAlign w:val="center"/>
          </w:tcPr>
          <w:p w:rsidR="00EF6473" w:rsidRDefault="00EF6473" w:rsidP="004E6E87">
            <w:pPr>
              <w:jc w:val="center"/>
            </w:pPr>
          </w:p>
        </w:tc>
      </w:tr>
    </w:tbl>
    <w:p w:rsidR="009017C7" w:rsidRPr="009017C7" w:rsidRDefault="009017C7" w:rsidP="00BA4CA0">
      <w:pPr>
        <w:spacing w:before="120" w:after="200" w:line="276" w:lineRule="auto"/>
      </w:pPr>
    </w:p>
    <w:p w:rsidR="00310641" w:rsidRPr="00BA4CA0" w:rsidRDefault="009017C7" w:rsidP="00BA4CA0">
      <w:pPr>
        <w:spacing w:before="120" w:after="200" w:line="276" w:lineRule="auto"/>
        <w:rPr>
          <w:b/>
        </w:rPr>
      </w:pPr>
      <w:r>
        <w:rPr>
          <w:b/>
        </w:rPr>
        <w:t>Analysis</w:t>
      </w:r>
    </w:p>
    <w:p w:rsidR="00310641" w:rsidRPr="00BA4CA0" w:rsidRDefault="007F2409" w:rsidP="00BA4CA0">
      <w:pPr>
        <w:spacing w:after="200" w:line="276" w:lineRule="auto"/>
      </w:pPr>
      <w:r w:rsidRPr="00BA4CA0">
        <w:t>As a</w:t>
      </w:r>
      <w:r w:rsidR="00D20821" w:rsidRPr="00BA4CA0">
        <w:t xml:space="preserve"> liquid </w:t>
      </w:r>
      <w:r w:rsidRPr="00BA4CA0">
        <w:t xml:space="preserve">cools, its temperature </w:t>
      </w:r>
      <w:r w:rsidR="00EB58D7" w:rsidRPr="00BA4CA0">
        <w:t>decreases</w:t>
      </w:r>
      <w:r w:rsidRPr="00BA4CA0">
        <w:t xml:space="preserve"> over time. </w:t>
      </w:r>
      <w:r w:rsidR="00310641" w:rsidRPr="00BA4CA0">
        <w:t xml:space="preserve">When the </w:t>
      </w:r>
      <w:r w:rsidR="00D20821" w:rsidRPr="00BA4CA0">
        <w:t>temperature versus time data</w:t>
      </w:r>
      <w:r w:rsidR="00310641" w:rsidRPr="00BA4CA0">
        <w:t xml:space="preserve"> is plotted on a graph, two distinct </w:t>
      </w:r>
      <w:r w:rsidR="00D20821" w:rsidRPr="00BA4CA0">
        <w:t>regions</w:t>
      </w:r>
      <w:r w:rsidR="00310641" w:rsidRPr="00BA4CA0">
        <w:t xml:space="preserve"> become apparent. The first region has a steeper slope and represents </w:t>
      </w:r>
      <w:r w:rsidRPr="00BA4CA0">
        <w:t>when</w:t>
      </w:r>
      <w:r w:rsidR="00310641" w:rsidRPr="00BA4CA0">
        <w:t xml:space="preserve"> th</w:t>
      </w:r>
      <w:r w:rsidR="0001679C" w:rsidRPr="00BA4CA0">
        <w:t>e solution is completely liquid.</w:t>
      </w:r>
      <w:r w:rsidR="00310641" w:rsidRPr="00BA4CA0">
        <w:t xml:space="preserve"> </w:t>
      </w:r>
      <w:r w:rsidR="0001679C" w:rsidRPr="00BA4CA0">
        <w:t>T</w:t>
      </w:r>
      <w:r w:rsidR="00310641" w:rsidRPr="00BA4CA0">
        <w:t>he second region has either a very shallow slope</w:t>
      </w:r>
      <w:r w:rsidR="00EC1FC3" w:rsidRPr="00BA4CA0">
        <w:t xml:space="preserve"> or a slope of zero,</w:t>
      </w:r>
      <w:r w:rsidR="00310641" w:rsidRPr="00BA4CA0">
        <w:t xml:space="preserve"> and represents </w:t>
      </w:r>
      <w:r w:rsidRPr="00BA4CA0">
        <w:t>when</w:t>
      </w:r>
      <w:r w:rsidR="00310641" w:rsidRPr="00BA4CA0">
        <w:t xml:space="preserve"> solid and liquid co-exist. </w:t>
      </w:r>
      <w:r w:rsidR="009D2DBA" w:rsidRPr="00BA4CA0">
        <w:t>The freezing point of the solution is found at the point of intersection of those two lines,</w:t>
      </w:r>
      <w:r w:rsidR="00310641" w:rsidRPr="00BA4CA0">
        <w:t xml:space="preserve"> as shown in Figure 1.</w:t>
      </w:r>
    </w:p>
    <w:p w:rsidR="008E31A8" w:rsidRPr="00BA4CA0" w:rsidRDefault="00793670" w:rsidP="00C92D75">
      <w:r w:rsidRPr="00BA4CA0">
        <w:rPr>
          <w:noProof/>
        </w:rPr>
        <w:lastRenderedPageBreak/>
        <w:drawing>
          <wp:inline distT="0" distB="0" distL="0" distR="0" wp14:anchorId="566CF304" wp14:editId="2CB3C65B">
            <wp:extent cx="5943600" cy="365760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10641" w:rsidRPr="00BA4CA0" w:rsidRDefault="00310641" w:rsidP="00BA4CA0">
      <w:pPr>
        <w:spacing w:line="276" w:lineRule="auto"/>
      </w:pPr>
      <w:r w:rsidRPr="00BA4CA0">
        <w:t xml:space="preserve">In Excel, plot the temperature vs. time readings for pure </w:t>
      </w:r>
      <w:proofErr w:type="spellStart"/>
      <w:r w:rsidRPr="00BA4CA0">
        <w:rPr>
          <w:i/>
        </w:rPr>
        <w:t>tert</w:t>
      </w:r>
      <w:proofErr w:type="spellEnd"/>
      <w:r w:rsidRPr="00BA4CA0">
        <w:t xml:space="preserve">-butyl alcohol and for </w:t>
      </w:r>
      <w:r w:rsidR="008B2991" w:rsidRPr="00BA4CA0">
        <w:t>solutions 1 and 2</w:t>
      </w:r>
      <w:r w:rsidRPr="00BA4CA0">
        <w:t xml:space="preserve"> </w:t>
      </w:r>
      <w:r w:rsidRPr="00BA4CA0">
        <w:rPr>
          <w:b/>
        </w:rPr>
        <w:t>on separate graphs</w:t>
      </w:r>
      <w:r w:rsidRPr="00BA4CA0">
        <w:t xml:space="preserve">. </w:t>
      </w:r>
      <w:r w:rsidR="00CE6A37" w:rsidRPr="00BA4CA0">
        <w:t xml:space="preserve"> </w:t>
      </w:r>
      <w:r w:rsidR="001C6A28" w:rsidRPr="00BA4CA0">
        <w:t>Using a ruler, d</w:t>
      </w:r>
      <w:r w:rsidRPr="00BA4CA0">
        <w:t>raw two straight lines through the points on each graph</w:t>
      </w:r>
      <w:r w:rsidR="001C6A28" w:rsidRPr="00BA4CA0">
        <w:t xml:space="preserve"> as illustrated in Figure 1</w:t>
      </w:r>
      <w:r w:rsidR="009D2DBA" w:rsidRPr="00BA4CA0">
        <w:t xml:space="preserve">. </w:t>
      </w:r>
      <w:r w:rsidR="00CE6A37" w:rsidRPr="00BA4CA0">
        <w:t xml:space="preserve"> </w:t>
      </w:r>
      <w:r w:rsidR="009D2DBA" w:rsidRPr="00BA4CA0">
        <w:t>D</w:t>
      </w:r>
      <w:r w:rsidRPr="00BA4CA0">
        <w:t>etermine the freezing point of each solution as illustrated</w:t>
      </w:r>
      <w:r w:rsidR="00FC2814" w:rsidRPr="00BA4CA0">
        <w:t xml:space="preserve"> from the intersection of these lines</w:t>
      </w:r>
      <w:r w:rsidRPr="00BA4CA0">
        <w:t>.</w:t>
      </w:r>
      <w:r w:rsidR="00CE6A37" w:rsidRPr="00BA4CA0">
        <w:t xml:space="preserve">  The freezing point depression, </w:t>
      </w:r>
      <w:proofErr w:type="spellStart"/>
      <w:r w:rsidR="00CE6A37" w:rsidRPr="00BA4CA0">
        <w:t>ΔT</w:t>
      </w:r>
      <w:r w:rsidR="00CE6A37" w:rsidRPr="00BA4CA0">
        <w:rPr>
          <w:vertAlign w:val="subscript"/>
        </w:rPr>
        <w:t>f</w:t>
      </w:r>
      <w:proofErr w:type="spellEnd"/>
      <w:r w:rsidR="00CE6A37" w:rsidRPr="00BA4CA0">
        <w:t xml:space="preserve">, for solutions 1 and 2 is the difference between the freezing point for pure </w:t>
      </w:r>
      <w:proofErr w:type="spellStart"/>
      <w:r w:rsidR="00CE6A37" w:rsidRPr="00BA4CA0">
        <w:rPr>
          <w:i/>
        </w:rPr>
        <w:t>tert</w:t>
      </w:r>
      <w:proofErr w:type="spellEnd"/>
      <w:r w:rsidR="00CE6A37" w:rsidRPr="00BA4CA0">
        <w:t>-butyl alcohol and that of each respective solution.</w:t>
      </w:r>
    </w:p>
    <w:p w:rsidR="004E6E87" w:rsidRDefault="004E6E87" w:rsidP="00BA4CA0">
      <w:pPr>
        <w:spacing w:before="120" w:line="276" w:lineRule="auto"/>
      </w:pPr>
    </w:p>
    <w:p w:rsidR="004E6E87" w:rsidRDefault="004E6E87" w:rsidP="004E6E87">
      <w:pPr>
        <w:autoSpaceDE w:val="0"/>
        <w:autoSpaceDN w:val="0"/>
        <w:adjustRightInd w:val="0"/>
        <w:ind w:left="720" w:hanging="720"/>
        <w:jc w:val="both"/>
        <w:rPr>
          <w:b/>
        </w:rPr>
      </w:pPr>
      <w:r>
        <w:rPr>
          <w:b/>
        </w:rPr>
        <w:t>Reference</w:t>
      </w:r>
    </w:p>
    <w:p w:rsidR="004E6E87" w:rsidRDefault="004E6E87" w:rsidP="004E6E87">
      <w:pPr>
        <w:autoSpaceDE w:val="0"/>
        <w:autoSpaceDN w:val="0"/>
        <w:adjustRightInd w:val="0"/>
        <w:ind w:left="720" w:hanging="720"/>
        <w:jc w:val="both"/>
      </w:pPr>
    </w:p>
    <w:p w:rsidR="004E6E87" w:rsidRDefault="004E6E87" w:rsidP="004E6E87">
      <w:pPr>
        <w:autoSpaceDE w:val="0"/>
        <w:autoSpaceDN w:val="0"/>
        <w:adjustRightInd w:val="0"/>
        <w:ind w:left="720" w:hanging="720"/>
        <w:jc w:val="both"/>
      </w:pPr>
      <w:r>
        <w:t xml:space="preserve">1. Sigma Aldrich Catalog.  </w:t>
      </w:r>
      <w:r>
        <w:rPr>
          <w:u w:val="single"/>
        </w:rPr>
        <w:t>www.sigmaaldrich.com</w:t>
      </w:r>
      <w:r>
        <w:t>. (accessed 2/20/2008).</w:t>
      </w:r>
    </w:p>
    <w:p w:rsidR="004E6E87" w:rsidRDefault="004E6E87" w:rsidP="00BA4CA0">
      <w:pPr>
        <w:spacing w:before="120" w:line="276" w:lineRule="auto"/>
      </w:pPr>
    </w:p>
    <w:p w:rsidR="00435632" w:rsidRPr="00BA4CA0" w:rsidRDefault="00335D14" w:rsidP="00BA4CA0">
      <w:pPr>
        <w:spacing w:before="120" w:line="276" w:lineRule="auto"/>
      </w:pPr>
      <w:r w:rsidRPr="00BA4CA0">
        <w:t>This experiment was prepared with assistance from A.D. Kim</w:t>
      </w:r>
      <w:r w:rsidR="00435632" w:rsidRPr="00BA4CA0">
        <w:t xml:space="preserve"> </w:t>
      </w:r>
      <w:r w:rsidRPr="00BA4CA0">
        <w:t>and</w:t>
      </w:r>
      <w:r w:rsidR="00435632" w:rsidRPr="00BA4CA0">
        <w:t xml:space="preserve"> </w:t>
      </w:r>
      <w:r w:rsidRPr="00BA4CA0">
        <w:t xml:space="preserve">M.A </w:t>
      </w:r>
      <w:r w:rsidR="00435632" w:rsidRPr="00BA4CA0">
        <w:t>Toscano, Skidmore College Department of Chemistry</w:t>
      </w:r>
      <w:r w:rsidRPr="00BA4CA0">
        <w:t>,</w:t>
      </w:r>
      <w:r w:rsidR="00435632" w:rsidRPr="00BA4CA0">
        <w:t xml:space="preserve"> 2/20/08.</w:t>
      </w:r>
    </w:p>
    <w:sectPr w:rsidR="00435632" w:rsidRPr="00BA4CA0" w:rsidSect="002528B2">
      <w:footerReference w:type="even" r:id="rId18"/>
      <w:pgSz w:w="12240" w:h="15840" w:code="1"/>
      <w:pgMar w:top="1440" w:right="1166" w:bottom="1152"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6B0" w:rsidRDefault="004866B0">
      <w:r>
        <w:separator/>
      </w:r>
    </w:p>
  </w:endnote>
  <w:endnote w:type="continuationSeparator" w:id="0">
    <w:p w:rsidR="004866B0" w:rsidRDefault="0048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BE6" w:rsidRDefault="00764BE6" w:rsidP="00811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64BE6" w:rsidRDefault="00764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6B0" w:rsidRDefault="004866B0">
      <w:r>
        <w:separator/>
      </w:r>
    </w:p>
  </w:footnote>
  <w:footnote w:type="continuationSeparator" w:id="0">
    <w:p w:rsidR="004866B0" w:rsidRDefault="004866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AFF"/>
    <w:multiLevelType w:val="hybridMultilevel"/>
    <w:tmpl w:val="FDC2BD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7B0265"/>
    <w:multiLevelType w:val="hybridMultilevel"/>
    <w:tmpl w:val="27241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43CAF"/>
    <w:multiLevelType w:val="hybridMultilevel"/>
    <w:tmpl w:val="7174CF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EB776A"/>
    <w:multiLevelType w:val="hybridMultilevel"/>
    <w:tmpl w:val="D67A8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A7496D"/>
    <w:multiLevelType w:val="hybridMultilevel"/>
    <w:tmpl w:val="1E4EF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0E5C97"/>
    <w:multiLevelType w:val="hybridMultilevel"/>
    <w:tmpl w:val="CC42B4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53D02FE"/>
    <w:multiLevelType w:val="hybridMultilevel"/>
    <w:tmpl w:val="DBF85E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2E4"/>
    <w:rsid w:val="0001679C"/>
    <w:rsid w:val="00055996"/>
    <w:rsid w:val="00073D83"/>
    <w:rsid w:val="0008280F"/>
    <w:rsid w:val="00086865"/>
    <w:rsid w:val="000A4690"/>
    <w:rsid w:val="000F5299"/>
    <w:rsid w:val="001057E8"/>
    <w:rsid w:val="00134038"/>
    <w:rsid w:val="00143CF2"/>
    <w:rsid w:val="00165A0E"/>
    <w:rsid w:val="00170246"/>
    <w:rsid w:val="00190B61"/>
    <w:rsid w:val="001C090C"/>
    <w:rsid w:val="001C6A28"/>
    <w:rsid w:val="002051BF"/>
    <w:rsid w:val="002313A9"/>
    <w:rsid w:val="002528B2"/>
    <w:rsid w:val="00285A7C"/>
    <w:rsid w:val="00295BDC"/>
    <w:rsid w:val="002E6A6A"/>
    <w:rsid w:val="002F7252"/>
    <w:rsid w:val="00304050"/>
    <w:rsid w:val="003102A7"/>
    <w:rsid w:val="00310641"/>
    <w:rsid w:val="00316B4D"/>
    <w:rsid w:val="00321A50"/>
    <w:rsid w:val="00335D14"/>
    <w:rsid w:val="00356C51"/>
    <w:rsid w:val="00361717"/>
    <w:rsid w:val="003871F9"/>
    <w:rsid w:val="003961B7"/>
    <w:rsid w:val="003F076A"/>
    <w:rsid w:val="003F69CE"/>
    <w:rsid w:val="00417B79"/>
    <w:rsid w:val="00435632"/>
    <w:rsid w:val="00451770"/>
    <w:rsid w:val="004517E9"/>
    <w:rsid w:val="0045390D"/>
    <w:rsid w:val="004551E6"/>
    <w:rsid w:val="00457B97"/>
    <w:rsid w:val="00464183"/>
    <w:rsid w:val="00470AD0"/>
    <w:rsid w:val="00477E1A"/>
    <w:rsid w:val="00481F76"/>
    <w:rsid w:val="004866B0"/>
    <w:rsid w:val="00491AF0"/>
    <w:rsid w:val="004A1B39"/>
    <w:rsid w:val="004B18D3"/>
    <w:rsid w:val="004D2A1A"/>
    <w:rsid w:val="004E6E87"/>
    <w:rsid w:val="004F7E09"/>
    <w:rsid w:val="00524931"/>
    <w:rsid w:val="00527D70"/>
    <w:rsid w:val="00544214"/>
    <w:rsid w:val="00546093"/>
    <w:rsid w:val="005559E1"/>
    <w:rsid w:val="005654DF"/>
    <w:rsid w:val="005730E8"/>
    <w:rsid w:val="00577197"/>
    <w:rsid w:val="00583819"/>
    <w:rsid w:val="005B3922"/>
    <w:rsid w:val="00625B80"/>
    <w:rsid w:val="006428D0"/>
    <w:rsid w:val="006606BE"/>
    <w:rsid w:val="006716A1"/>
    <w:rsid w:val="006938CE"/>
    <w:rsid w:val="006B38D1"/>
    <w:rsid w:val="006B4A88"/>
    <w:rsid w:val="006D202D"/>
    <w:rsid w:val="006E09B4"/>
    <w:rsid w:val="006F5578"/>
    <w:rsid w:val="007145D7"/>
    <w:rsid w:val="00721E73"/>
    <w:rsid w:val="00723C0D"/>
    <w:rsid w:val="00730246"/>
    <w:rsid w:val="00736EF5"/>
    <w:rsid w:val="007377C6"/>
    <w:rsid w:val="00764B9A"/>
    <w:rsid w:val="00764BE6"/>
    <w:rsid w:val="007822E4"/>
    <w:rsid w:val="007847EF"/>
    <w:rsid w:val="00786881"/>
    <w:rsid w:val="00793670"/>
    <w:rsid w:val="007A5AD8"/>
    <w:rsid w:val="007B12F6"/>
    <w:rsid w:val="007B1F2B"/>
    <w:rsid w:val="007B204E"/>
    <w:rsid w:val="007B27D5"/>
    <w:rsid w:val="007C6B28"/>
    <w:rsid w:val="007F2409"/>
    <w:rsid w:val="007F7DC2"/>
    <w:rsid w:val="00811440"/>
    <w:rsid w:val="00812E6A"/>
    <w:rsid w:val="00816F66"/>
    <w:rsid w:val="0082140A"/>
    <w:rsid w:val="00825B00"/>
    <w:rsid w:val="00850010"/>
    <w:rsid w:val="0087776E"/>
    <w:rsid w:val="008860C7"/>
    <w:rsid w:val="008926DB"/>
    <w:rsid w:val="008B2991"/>
    <w:rsid w:val="008D30C5"/>
    <w:rsid w:val="008E2FC9"/>
    <w:rsid w:val="008E31A8"/>
    <w:rsid w:val="008E35DE"/>
    <w:rsid w:val="009017C7"/>
    <w:rsid w:val="009254E7"/>
    <w:rsid w:val="00936955"/>
    <w:rsid w:val="009453E2"/>
    <w:rsid w:val="00945C6D"/>
    <w:rsid w:val="00951C00"/>
    <w:rsid w:val="0098379B"/>
    <w:rsid w:val="00987971"/>
    <w:rsid w:val="009B6CF2"/>
    <w:rsid w:val="009D2DBA"/>
    <w:rsid w:val="009F2F6A"/>
    <w:rsid w:val="009F64DF"/>
    <w:rsid w:val="00A16364"/>
    <w:rsid w:val="00A502D2"/>
    <w:rsid w:val="00A50A26"/>
    <w:rsid w:val="00A5410F"/>
    <w:rsid w:val="00A8369A"/>
    <w:rsid w:val="00A83994"/>
    <w:rsid w:val="00AA5934"/>
    <w:rsid w:val="00AE2F06"/>
    <w:rsid w:val="00AF755D"/>
    <w:rsid w:val="00B00739"/>
    <w:rsid w:val="00B05B5E"/>
    <w:rsid w:val="00B6585C"/>
    <w:rsid w:val="00B92953"/>
    <w:rsid w:val="00BA4CA0"/>
    <w:rsid w:val="00BB4083"/>
    <w:rsid w:val="00BC265C"/>
    <w:rsid w:val="00BD7BA0"/>
    <w:rsid w:val="00C03616"/>
    <w:rsid w:val="00C0706D"/>
    <w:rsid w:val="00C079BC"/>
    <w:rsid w:val="00C30357"/>
    <w:rsid w:val="00C30DF2"/>
    <w:rsid w:val="00C34EB5"/>
    <w:rsid w:val="00C67FE0"/>
    <w:rsid w:val="00C72074"/>
    <w:rsid w:val="00C8317E"/>
    <w:rsid w:val="00C84139"/>
    <w:rsid w:val="00C90EEB"/>
    <w:rsid w:val="00C927AB"/>
    <w:rsid w:val="00C92D75"/>
    <w:rsid w:val="00CA54D6"/>
    <w:rsid w:val="00CB3645"/>
    <w:rsid w:val="00CB79E8"/>
    <w:rsid w:val="00CE6A37"/>
    <w:rsid w:val="00D060DB"/>
    <w:rsid w:val="00D073E8"/>
    <w:rsid w:val="00D07C57"/>
    <w:rsid w:val="00D20821"/>
    <w:rsid w:val="00D222A2"/>
    <w:rsid w:val="00D31975"/>
    <w:rsid w:val="00D328BF"/>
    <w:rsid w:val="00D95570"/>
    <w:rsid w:val="00DC0A31"/>
    <w:rsid w:val="00DC1D5C"/>
    <w:rsid w:val="00DC27E7"/>
    <w:rsid w:val="00DC6D3E"/>
    <w:rsid w:val="00DC78CB"/>
    <w:rsid w:val="00DC7C32"/>
    <w:rsid w:val="00DD1DF2"/>
    <w:rsid w:val="00DE6A70"/>
    <w:rsid w:val="00E3154A"/>
    <w:rsid w:val="00E36094"/>
    <w:rsid w:val="00E63213"/>
    <w:rsid w:val="00E666E4"/>
    <w:rsid w:val="00E84D09"/>
    <w:rsid w:val="00E93DB2"/>
    <w:rsid w:val="00E96998"/>
    <w:rsid w:val="00EA0C39"/>
    <w:rsid w:val="00EB232A"/>
    <w:rsid w:val="00EB2529"/>
    <w:rsid w:val="00EB2865"/>
    <w:rsid w:val="00EB58D7"/>
    <w:rsid w:val="00EC1FC3"/>
    <w:rsid w:val="00ED3171"/>
    <w:rsid w:val="00EE7441"/>
    <w:rsid w:val="00EF4AA9"/>
    <w:rsid w:val="00EF6473"/>
    <w:rsid w:val="00EF6869"/>
    <w:rsid w:val="00F071D8"/>
    <w:rsid w:val="00F23273"/>
    <w:rsid w:val="00F3007C"/>
    <w:rsid w:val="00F40A94"/>
    <w:rsid w:val="00F62279"/>
    <w:rsid w:val="00FC10D7"/>
    <w:rsid w:val="00FC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B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7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B3645"/>
    <w:rPr>
      <w:sz w:val="16"/>
      <w:szCs w:val="16"/>
    </w:rPr>
  </w:style>
  <w:style w:type="paragraph" w:styleId="CommentText">
    <w:name w:val="annotation text"/>
    <w:basedOn w:val="Normal"/>
    <w:semiHidden/>
    <w:rsid w:val="00CB3645"/>
    <w:rPr>
      <w:sz w:val="20"/>
      <w:szCs w:val="20"/>
    </w:rPr>
  </w:style>
  <w:style w:type="paragraph" w:styleId="CommentSubject">
    <w:name w:val="annotation subject"/>
    <w:basedOn w:val="CommentText"/>
    <w:next w:val="CommentText"/>
    <w:semiHidden/>
    <w:rsid w:val="00CB3645"/>
    <w:rPr>
      <w:b/>
      <w:bCs/>
    </w:rPr>
  </w:style>
  <w:style w:type="paragraph" w:styleId="BalloonText">
    <w:name w:val="Balloon Text"/>
    <w:basedOn w:val="Normal"/>
    <w:semiHidden/>
    <w:rsid w:val="00CB3645"/>
    <w:rPr>
      <w:rFonts w:ascii="Tahoma" w:hAnsi="Tahoma" w:cs="Tahoma"/>
      <w:sz w:val="16"/>
      <w:szCs w:val="16"/>
    </w:rPr>
  </w:style>
  <w:style w:type="paragraph" w:styleId="Footer">
    <w:name w:val="footer"/>
    <w:basedOn w:val="Normal"/>
    <w:rsid w:val="00FC2814"/>
    <w:pPr>
      <w:tabs>
        <w:tab w:val="center" w:pos="4320"/>
        <w:tab w:val="right" w:pos="8640"/>
      </w:tabs>
    </w:pPr>
  </w:style>
  <w:style w:type="character" w:styleId="PageNumber">
    <w:name w:val="page number"/>
    <w:basedOn w:val="DefaultParagraphFont"/>
    <w:rsid w:val="00FC2814"/>
  </w:style>
  <w:style w:type="paragraph" w:styleId="Header">
    <w:name w:val="header"/>
    <w:basedOn w:val="Normal"/>
    <w:link w:val="HeaderChar"/>
    <w:rsid w:val="00C079BC"/>
    <w:pPr>
      <w:tabs>
        <w:tab w:val="center" w:pos="4680"/>
        <w:tab w:val="right" w:pos="9360"/>
      </w:tabs>
    </w:pPr>
  </w:style>
  <w:style w:type="character" w:customStyle="1" w:styleId="HeaderChar">
    <w:name w:val="Header Char"/>
    <w:basedOn w:val="DefaultParagraphFont"/>
    <w:link w:val="Header"/>
    <w:rsid w:val="00C079BC"/>
    <w:rPr>
      <w:sz w:val="24"/>
      <w:szCs w:val="24"/>
    </w:rPr>
  </w:style>
  <w:style w:type="paragraph" w:styleId="ListParagraph">
    <w:name w:val="List Paragraph"/>
    <w:basedOn w:val="Normal"/>
    <w:uiPriority w:val="34"/>
    <w:qFormat/>
    <w:rsid w:val="003040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B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7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B3645"/>
    <w:rPr>
      <w:sz w:val="16"/>
      <w:szCs w:val="16"/>
    </w:rPr>
  </w:style>
  <w:style w:type="paragraph" w:styleId="CommentText">
    <w:name w:val="annotation text"/>
    <w:basedOn w:val="Normal"/>
    <w:semiHidden/>
    <w:rsid w:val="00CB3645"/>
    <w:rPr>
      <w:sz w:val="20"/>
      <w:szCs w:val="20"/>
    </w:rPr>
  </w:style>
  <w:style w:type="paragraph" w:styleId="CommentSubject">
    <w:name w:val="annotation subject"/>
    <w:basedOn w:val="CommentText"/>
    <w:next w:val="CommentText"/>
    <w:semiHidden/>
    <w:rsid w:val="00CB3645"/>
    <w:rPr>
      <w:b/>
      <w:bCs/>
    </w:rPr>
  </w:style>
  <w:style w:type="paragraph" w:styleId="BalloonText">
    <w:name w:val="Balloon Text"/>
    <w:basedOn w:val="Normal"/>
    <w:semiHidden/>
    <w:rsid w:val="00CB3645"/>
    <w:rPr>
      <w:rFonts w:ascii="Tahoma" w:hAnsi="Tahoma" w:cs="Tahoma"/>
      <w:sz w:val="16"/>
      <w:szCs w:val="16"/>
    </w:rPr>
  </w:style>
  <w:style w:type="paragraph" w:styleId="Footer">
    <w:name w:val="footer"/>
    <w:basedOn w:val="Normal"/>
    <w:rsid w:val="00FC2814"/>
    <w:pPr>
      <w:tabs>
        <w:tab w:val="center" w:pos="4320"/>
        <w:tab w:val="right" w:pos="8640"/>
      </w:tabs>
    </w:pPr>
  </w:style>
  <w:style w:type="character" w:styleId="PageNumber">
    <w:name w:val="page number"/>
    <w:basedOn w:val="DefaultParagraphFont"/>
    <w:rsid w:val="00FC2814"/>
  </w:style>
  <w:style w:type="paragraph" w:styleId="Header">
    <w:name w:val="header"/>
    <w:basedOn w:val="Normal"/>
    <w:link w:val="HeaderChar"/>
    <w:rsid w:val="00C079BC"/>
    <w:pPr>
      <w:tabs>
        <w:tab w:val="center" w:pos="4680"/>
        <w:tab w:val="right" w:pos="9360"/>
      </w:tabs>
    </w:pPr>
  </w:style>
  <w:style w:type="character" w:customStyle="1" w:styleId="HeaderChar">
    <w:name w:val="Header Char"/>
    <w:basedOn w:val="DefaultParagraphFont"/>
    <w:link w:val="Header"/>
    <w:rsid w:val="00C079BC"/>
    <w:rPr>
      <w:sz w:val="24"/>
      <w:szCs w:val="24"/>
    </w:rPr>
  </w:style>
  <w:style w:type="paragraph" w:styleId="ListParagraph">
    <w:name w:val="List Paragraph"/>
    <w:basedOn w:val="Normal"/>
    <w:uiPriority w:val="34"/>
    <w:qFormat/>
    <w:rsid w:val="00304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imgres?q=ice+melting&amp;start=316&amp;num=10&amp;hl=en&amp;biw=1920&amp;bih=958&amp;addh=36&amp;tbm=isch&amp;tbnid=pyrLn1xdoNWRPM:&amp;imgrefurl=http://www.thesalt-guys.com/ice.php&amp;imgurl=http://www.thesalt-guys.com/admin/images/na3038083.jpg&amp;w=235&amp;h=293&amp;ei=1a47UL3CNYSi2wWcmIDADg&amp;zoom=1&amp;iact=hc&amp;vpx=1690&amp;vpy=472&amp;dur=1315&amp;hovh=234&amp;hovw=188&amp;tx=119&amp;ty=154&amp;sig=106702737713436862042&amp;page=7&amp;tbnh=148&amp;tbnw=148&amp;ndsp=54&amp;ved=1t:429,r:53,s:316,i:256" TargetMode="External"/><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atastor.skidmore.edu\Chemistry\Shared\CH%20106L\Fall%202010\Experiments%20for%20manual\TBA%20cooling%20curv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6261980830672"/>
          <c:y val="4.1558441558441662E-2"/>
          <c:w val="0.85623003194888292"/>
          <c:h val="0.7168831168831179"/>
        </c:manualLayout>
      </c:layout>
      <c:scatterChart>
        <c:scatterStyle val="lineMarker"/>
        <c:varyColors val="0"/>
        <c:ser>
          <c:idx val="0"/>
          <c:order val="0"/>
          <c:tx>
            <c:strRef>
              <c:f>Sheet1!$C$1</c:f>
              <c:strCache>
                <c:ptCount val="1"/>
                <c:pt idx="0">
                  <c:v>Temp. (°C)</c:v>
                </c:pt>
              </c:strCache>
            </c:strRef>
          </c:tx>
          <c:spPr>
            <a:ln w="28575">
              <a:noFill/>
            </a:ln>
          </c:spPr>
          <c:marker>
            <c:spPr>
              <a:solidFill>
                <a:schemeClr val="tx1"/>
              </a:solidFill>
              <a:ln>
                <a:solidFill>
                  <a:schemeClr val="tx1"/>
                </a:solidFill>
              </a:ln>
            </c:spPr>
          </c:marker>
          <c:xVal>
            <c:numRef>
              <c:f>Sheet1!$A$2:$A$18</c:f>
              <c:numCache>
                <c:formatCode>General</c:formatCode>
                <c:ptCount val="17"/>
                <c:pt idx="0">
                  <c:v>15</c:v>
                </c:pt>
                <c:pt idx="1">
                  <c:v>45</c:v>
                </c:pt>
                <c:pt idx="2">
                  <c:v>75</c:v>
                </c:pt>
                <c:pt idx="3">
                  <c:v>105</c:v>
                </c:pt>
                <c:pt idx="4">
                  <c:v>135</c:v>
                </c:pt>
                <c:pt idx="5">
                  <c:v>165</c:v>
                </c:pt>
                <c:pt idx="6">
                  <c:v>195</c:v>
                </c:pt>
                <c:pt idx="7">
                  <c:v>225</c:v>
                </c:pt>
                <c:pt idx="8">
                  <c:v>255</c:v>
                </c:pt>
                <c:pt idx="9">
                  <c:v>285</c:v>
                </c:pt>
                <c:pt idx="10">
                  <c:v>315</c:v>
                </c:pt>
                <c:pt idx="11">
                  <c:v>345</c:v>
                </c:pt>
                <c:pt idx="12">
                  <c:v>375</c:v>
                </c:pt>
                <c:pt idx="13">
                  <c:v>405</c:v>
                </c:pt>
                <c:pt idx="14">
                  <c:v>435</c:v>
                </c:pt>
                <c:pt idx="15">
                  <c:v>465</c:v>
                </c:pt>
                <c:pt idx="16">
                  <c:v>495</c:v>
                </c:pt>
              </c:numCache>
            </c:numRef>
          </c:xVal>
          <c:yVal>
            <c:numRef>
              <c:f>Sheet1!$C$2:$C$18</c:f>
              <c:numCache>
                <c:formatCode>0.0</c:formatCode>
                <c:ptCount val="17"/>
                <c:pt idx="0">
                  <c:v>35</c:v>
                </c:pt>
                <c:pt idx="1">
                  <c:v>32</c:v>
                </c:pt>
                <c:pt idx="2">
                  <c:v>29.9</c:v>
                </c:pt>
                <c:pt idx="3">
                  <c:v>28</c:v>
                </c:pt>
                <c:pt idx="4">
                  <c:v>26.5</c:v>
                </c:pt>
                <c:pt idx="5">
                  <c:v>26</c:v>
                </c:pt>
                <c:pt idx="6">
                  <c:v>26</c:v>
                </c:pt>
                <c:pt idx="7">
                  <c:v>25.9</c:v>
                </c:pt>
                <c:pt idx="8">
                  <c:v>25.9</c:v>
                </c:pt>
                <c:pt idx="9">
                  <c:v>25.8</c:v>
                </c:pt>
                <c:pt idx="10">
                  <c:v>25.8</c:v>
                </c:pt>
                <c:pt idx="11">
                  <c:v>25.8</c:v>
                </c:pt>
                <c:pt idx="12">
                  <c:v>25.8</c:v>
                </c:pt>
                <c:pt idx="13">
                  <c:v>25.5</c:v>
                </c:pt>
                <c:pt idx="14">
                  <c:v>25.1</c:v>
                </c:pt>
                <c:pt idx="15">
                  <c:v>25</c:v>
                </c:pt>
                <c:pt idx="16">
                  <c:v>24.9</c:v>
                </c:pt>
              </c:numCache>
            </c:numRef>
          </c:yVal>
          <c:smooth val="0"/>
        </c:ser>
        <c:ser>
          <c:idx val="1"/>
          <c:order val="1"/>
          <c:spPr>
            <a:ln w="28575">
              <a:noFill/>
            </a:ln>
          </c:spPr>
          <c:marker>
            <c:symbol val="x"/>
            <c:size val="7"/>
            <c:spPr>
              <a:ln>
                <a:solidFill>
                  <a:schemeClr val="tx1"/>
                </a:solidFill>
              </a:ln>
            </c:spPr>
          </c:marker>
          <c:xVal>
            <c:numRef>
              <c:f>Sheet1!$B$2:$B$18</c:f>
              <c:numCache>
                <c:formatCode>General</c:formatCode>
                <c:ptCount val="17"/>
                <c:pt idx="0">
                  <c:v>0</c:v>
                </c:pt>
                <c:pt idx="1">
                  <c:v>30</c:v>
                </c:pt>
                <c:pt idx="2">
                  <c:v>60</c:v>
                </c:pt>
                <c:pt idx="3">
                  <c:v>90</c:v>
                </c:pt>
                <c:pt idx="4">
                  <c:v>120</c:v>
                </c:pt>
                <c:pt idx="5">
                  <c:v>150</c:v>
                </c:pt>
                <c:pt idx="6">
                  <c:v>180</c:v>
                </c:pt>
                <c:pt idx="7">
                  <c:v>210</c:v>
                </c:pt>
                <c:pt idx="8">
                  <c:v>240</c:v>
                </c:pt>
                <c:pt idx="9">
                  <c:v>270</c:v>
                </c:pt>
                <c:pt idx="10">
                  <c:v>300</c:v>
                </c:pt>
                <c:pt idx="11">
                  <c:v>330</c:v>
                </c:pt>
                <c:pt idx="12">
                  <c:v>360</c:v>
                </c:pt>
                <c:pt idx="13">
                  <c:v>390</c:v>
                </c:pt>
                <c:pt idx="14">
                  <c:v>420</c:v>
                </c:pt>
                <c:pt idx="15">
                  <c:v>450</c:v>
                </c:pt>
                <c:pt idx="16">
                  <c:v>480</c:v>
                </c:pt>
              </c:numCache>
            </c:numRef>
          </c:xVal>
          <c:yVal>
            <c:numRef>
              <c:f>Sheet1!$D$2:$D$18</c:f>
              <c:numCache>
                <c:formatCode>General</c:formatCode>
                <c:ptCount val="17"/>
                <c:pt idx="0">
                  <c:v>35</c:v>
                </c:pt>
                <c:pt idx="1">
                  <c:v>29</c:v>
                </c:pt>
                <c:pt idx="2">
                  <c:v>26</c:v>
                </c:pt>
                <c:pt idx="3">
                  <c:v>24</c:v>
                </c:pt>
                <c:pt idx="4">
                  <c:v>22</c:v>
                </c:pt>
                <c:pt idx="5">
                  <c:v>21.5</c:v>
                </c:pt>
                <c:pt idx="6">
                  <c:v>21.5</c:v>
                </c:pt>
                <c:pt idx="7">
                  <c:v>21</c:v>
                </c:pt>
                <c:pt idx="8">
                  <c:v>21</c:v>
                </c:pt>
                <c:pt idx="9">
                  <c:v>20.5</c:v>
                </c:pt>
                <c:pt idx="10">
                  <c:v>20</c:v>
                </c:pt>
                <c:pt idx="11">
                  <c:v>20</c:v>
                </c:pt>
                <c:pt idx="12">
                  <c:v>19</c:v>
                </c:pt>
                <c:pt idx="13">
                  <c:v>18.5</c:v>
                </c:pt>
                <c:pt idx="14">
                  <c:v>18</c:v>
                </c:pt>
                <c:pt idx="15">
                  <c:v>17</c:v>
                </c:pt>
                <c:pt idx="16">
                  <c:v>16</c:v>
                </c:pt>
              </c:numCache>
            </c:numRef>
          </c:yVal>
          <c:smooth val="0"/>
        </c:ser>
        <c:dLbls>
          <c:showLegendKey val="0"/>
          <c:showVal val="0"/>
          <c:showCatName val="0"/>
          <c:showSerName val="0"/>
          <c:showPercent val="0"/>
          <c:showBubbleSize val="0"/>
        </c:dLbls>
        <c:axId val="598349312"/>
        <c:axId val="600670976"/>
      </c:scatterChart>
      <c:valAx>
        <c:axId val="598349312"/>
        <c:scaling>
          <c:orientation val="minMax"/>
          <c:max val="495"/>
          <c:min val="0"/>
        </c:scaling>
        <c:delete val="0"/>
        <c:axPos val="b"/>
        <c:title>
          <c:tx>
            <c:rich>
              <a:bodyPr/>
              <a:lstStyle/>
              <a:p>
                <a:pPr>
                  <a:defRPr b="0"/>
                </a:pPr>
                <a:r>
                  <a:rPr lang="en-US" b="0"/>
                  <a:t>Time (s)</a:t>
                </a:r>
              </a:p>
            </c:rich>
          </c:tx>
          <c:overlay val="0"/>
        </c:title>
        <c:numFmt formatCode="General" sourceLinked="1"/>
        <c:majorTickMark val="out"/>
        <c:minorTickMark val="none"/>
        <c:tickLblPos val="nextTo"/>
        <c:spPr>
          <a:ln>
            <a:solidFill>
              <a:schemeClr val="tx1"/>
            </a:solidFill>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600670976"/>
        <c:crosses val="autoZero"/>
        <c:crossBetween val="midCat"/>
        <c:majorUnit val="30"/>
      </c:valAx>
      <c:valAx>
        <c:axId val="600670976"/>
        <c:scaling>
          <c:orientation val="minMax"/>
          <c:min val="16"/>
        </c:scaling>
        <c:delete val="0"/>
        <c:axPos val="l"/>
        <c:title>
          <c:tx>
            <c:rich>
              <a:bodyPr rot="-5400000" vert="horz"/>
              <a:lstStyle/>
              <a:p>
                <a:pPr>
                  <a:defRPr b="0">
                    <a:solidFill>
                      <a:schemeClr val="tx1"/>
                    </a:solidFill>
                  </a:defRPr>
                </a:pPr>
                <a:r>
                  <a:rPr lang="en-US" b="0">
                    <a:solidFill>
                      <a:schemeClr val="tx1"/>
                    </a:solidFill>
                  </a:rPr>
                  <a:t>Temperature (ºC)</a:t>
                </a:r>
              </a:p>
            </c:rich>
          </c:tx>
          <c:overlay val="0"/>
        </c:title>
        <c:numFmt formatCode="0.0" sourceLinked="1"/>
        <c:majorTickMark val="out"/>
        <c:minorTickMark val="out"/>
        <c:tickLblPos val="nextTo"/>
        <c:spPr>
          <a:ln>
            <a:solidFill>
              <a:schemeClr val="tx1"/>
            </a:solidFill>
          </a:ln>
        </c:spPr>
        <c:crossAx val="598349312"/>
        <c:crosses val="autoZero"/>
        <c:crossBetween val="midCat"/>
        <c:majorUnit val="2"/>
        <c:minorUnit val="0.5"/>
      </c:valAx>
    </c:plotArea>
    <c:plotVisOnly val="1"/>
    <c:dispBlanksAs val="gap"/>
    <c:showDLblsOverMax val="0"/>
  </c:chart>
  <c:spPr>
    <a:ln>
      <a:noFill/>
    </a:ln>
  </c:spPr>
  <c:txPr>
    <a:bodyPr/>
    <a:lstStyle/>
    <a:p>
      <a:pPr>
        <a:defRPr sz="1200">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0.04403</cdr:x>
      <cdr:y>0.90909</cdr:y>
    </cdr:from>
    <cdr:to>
      <cdr:x>0.63994</cdr:x>
      <cdr:y>0.97838</cdr:y>
    </cdr:to>
    <cdr:sp macro="" textlink="">
      <cdr:nvSpPr>
        <cdr:cNvPr id="2" name="TextBox 1"/>
        <cdr:cNvSpPr txBox="1"/>
      </cdr:nvSpPr>
      <cdr:spPr>
        <a:xfrm xmlns:a="http://schemas.openxmlformats.org/drawingml/2006/main">
          <a:off x="266700" y="3333751"/>
          <a:ext cx="3609975" cy="2540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itchFamily="18" charset="0"/>
              <a:cs typeface="Times New Roman" pitchFamily="18" charset="0"/>
            </a:rPr>
            <a:t>Figure 1.</a:t>
          </a:r>
          <a:r>
            <a:rPr lang="en-US" sz="1100" b="1" baseline="0">
              <a:latin typeface="Times New Roman" pitchFamily="18" charset="0"/>
              <a:cs typeface="Times New Roman" pitchFamily="18" charset="0"/>
            </a:rPr>
            <a:t> </a:t>
          </a:r>
          <a:r>
            <a:rPr lang="en-US" sz="1100" b="0" baseline="0">
              <a:latin typeface="Times New Roman" pitchFamily="18" charset="0"/>
              <a:cs typeface="Times New Roman" pitchFamily="18" charset="0"/>
            </a:rPr>
            <a:t>Cooling curves for two liquids.</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0.48428</cdr:x>
      <cdr:y>0.27027</cdr:y>
    </cdr:from>
    <cdr:to>
      <cdr:x>0.75943</cdr:x>
      <cdr:y>0.33784</cdr:y>
    </cdr:to>
    <cdr:sp macro="" textlink="">
      <cdr:nvSpPr>
        <cdr:cNvPr id="3" name="TextBox 2"/>
        <cdr:cNvSpPr txBox="1"/>
      </cdr:nvSpPr>
      <cdr:spPr>
        <a:xfrm xmlns:a="http://schemas.openxmlformats.org/drawingml/2006/main">
          <a:off x="2933699" y="952500"/>
          <a:ext cx="1666875"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0.48788</cdr:x>
      <cdr:y>0.30135</cdr:y>
    </cdr:from>
    <cdr:to>
      <cdr:x>0.6797</cdr:x>
      <cdr:y>0.36628</cdr:y>
    </cdr:to>
    <cdr:sp macro="" textlink="">
      <cdr:nvSpPr>
        <cdr:cNvPr id="4" name="TextBox 3"/>
        <cdr:cNvSpPr txBox="1"/>
      </cdr:nvSpPr>
      <cdr:spPr>
        <a:xfrm xmlns:a="http://schemas.openxmlformats.org/drawingml/2006/main">
          <a:off x="2899754" y="1102230"/>
          <a:ext cx="1140102" cy="2374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latin typeface="Times New Roman" pitchFamily="18" charset="0"/>
              <a:cs typeface="Times New Roman" pitchFamily="18" charset="0"/>
            </a:rPr>
            <a:t>freezing</a:t>
          </a:r>
          <a:r>
            <a:rPr lang="en-US" sz="1100" baseline="0">
              <a:latin typeface="Times New Roman" pitchFamily="18" charset="0"/>
              <a:cs typeface="Times New Roman" pitchFamily="18" charset="0"/>
            </a:rPr>
            <a:t> portion</a:t>
          </a:r>
          <a:endParaRPr lang="en-US" sz="1100">
            <a:latin typeface="Times New Roman" pitchFamily="18" charset="0"/>
            <a:cs typeface="Times New Roman" pitchFamily="18" charset="0"/>
          </a:endParaRPr>
        </a:p>
      </cdr:txBody>
    </cdr:sp>
  </cdr:relSizeAnchor>
  <cdr:relSizeAnchor xmlns:cdr="http://schemas.openxmlformats.org/drawingml/2006/chartDrawing">
    <cdr:from>
      <cdr:x>0.22185</cdr:x>
      <cdr:y>0.13895</cdr:y>
    </cdr:from>
    <cdr:to>
      <cdr:x>0.40224</cdr:x>
      <cdr:y>0.20648</cdr:y>
    </cdr:to>
    <cdr:sp macro="" textlink="">
      <cdr:nvSpPr>
        <cdr:cNvPr id="6" name="TextBox 5"/>
        <cdr:cNvSpPr txBox="1"/>
      </cdr:nvSpPr>
      <cdr:spPr>
        <a:xfrm xmlns:a="http://schemas.openxmlformats.org/drawingml/2006/main">
          <a:off x="1318604" y="508230"/>
          <a:ext cx="1072171" cy="2469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latin typeface="Times New Roman" pitchFamily="18" charset="0"/>
              <a:cs typeface="Times New Roman" pitchFamily="18" charset="0"/>
            </a:rPr>
            <a:t>cooling</a:t>
          </a:r>
          <a:r>
            <a:rPr lang="en-US" sz="1100" baseline="0">
              <a:latin typeface="Times New Roman" pitchFamily="18" charset="0"/>
              <a:cs typeface="Times New Roman" pitchFamily="18" charset="0"/>
            </a:rPr>
            <a:t> portion</a:t>
          </a:r>
          <a:endParaRPr lang="en-US" sz="1100">
            <a:latin typeface="Times New Roman" pitchFamily="18" charset="0"/>
            <a:cs typeface="Times New Roman" pitchFamily="18" charset="0"/>
          </a:endParaRPr>
        </a:p>
      </cdr:txBody>
    </cdr:sp>
  </cdr:relSizeAnchor>
  <cdr:relSizeAnchor xmlns:cdr="http://schemas.openxmlformats.org/drawingml/2006/chartDrawing">
    <cdr:from>
      <cdr:x>0.12579</cdr:x>
      <cdr:y>0.06234</cdr:y>
    </cdr:from>
    <cdr:to>
      <cdr:x>0.36321</cdr:x>
      <cdr:y>0.44156</cdr:y>
    </cdr:to>
    <cdr:sp macro="" textlink="">
      <cdr:nvSpPr>
        <cdr:cNvPr id="8" name="Straight Connector 7"/>
        <cdr:cNvSpPr/>
      </cdr:nvSpPr>
      <cdr:spPr>
        <a:xfrm xmlns:a="http://schemas.openxmlformats.org/drawingml/2006/main">
          <a:off x="762000" y="228601"/>
          <a:ext cx="1438275" cy="13906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0.3066</cdr:x>
      <cdr:y>0.39481</cdr:y>
    </cdr:from>
    <cdr:to>
      <cdr:x>0.8239</cdr:x>
      <cdr:y>0.42078</cdr:y>
    </cdr:to>
    <cdr:sp macro="" textlink="">
      <cdr:nvSpPr>
        <cdr:cNvPr id="12" name="Straight Connector 11"/>
        <cdr:cNvSpPr/>
      </cdr:nvSpPr>
      <cdr:spPr>
        <a:xfrm xmlns:a="http://schemas.openxmlformats.org/drawingml/2006/main" rot="10800000">
          <a:off x="1857375" y="1447801"/>
          <a:ext cx="3133725" cy="952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0.10849</cdr:x>
      <cdr:y>0.3974</cdr:y>
    </cdr:from>
    <cdr:to>
      <cdr:x>0.33491</cdr:x>
      <cdr:y>0.3974</cdr:y>
    </cdr:to>
    <cdr:sp macro="" textlink="">
      <cdr:nvSpPr>
        <cdr:cNvPr id="14" name="Straight Connector 13"/>
        <cdr:cNvSpPr/>
      </cdr:nvSpPr>
      <cdr:spPr>
        <a:xfrm xmlns:a="http://schemas.openxmlformats.org/drawingml/2006/main" rot="10800000">
          <a:off x="657225" y="1457326"/>
          <a:ext cx="1371600" cy="1"/>
        </a:xfrm>
        <a:prstGeom xmlns:a="http://schemas.openxmlformats.org/drawingml/2006/main" prst="line">
          <a:avLst/>
        </a:prstGeom>
        <a:ln xmlns:a="http://schemas.openxmlformats.org/drawingml/2006/main">
          <a:prstDash val="sys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0.09748</cdr:x>
      <cdr:y>0.07533</cdr:y>
    </cdr:from>
    <cdr:to>
      <cdr:x>0.30503</cdr:x>
      <cdr:y>0.58182</cdr:y>
    </cdr:to>
    <cdr:sp macro="" textlink="">
      <cdr:nvSpPr>
        <cdr:cNvPr id="16" name="Straight Connector 15"/>
        <cdr:cNvSpPr/>
      </cdr:nvSpPr>
      <cdr:spPr>
        <a:xfrm xmlns:a="http://schemas.openxmlformats.org/drawingml/2006/main" rot="16200000" flipH="1">
          <a:off x="290514" y="576265"/>
          <a:ext cx="1857372" cy="12573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0.26572</cdr:x>
      <cdr:y>0.53766</cdr:y>
    </cdr:from>
    <cdr:to>
      <cdr:x>0.79717</cdr:x>
      <cdr:y>0.65974</cdr:y>
    </cdr:to>
    <cdr:sp macro="" textlink="">
      <cdr:nvSpPr>
        <cdr:cNvPr id="18" name="Straight Connector 17"/>
        <cdr:cNvSpPr/>
      </cdr:nvSpPr>
      <cdr:spPr>
        <a:xfrm xmlns:a="http://schemas.openxmlformats.org/drawingml/2006/main">
          <a:off x="1609725" y="1971676"/>
          <a:ext cx="3219450" cy="4476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0.10849</cdr:x>
      <cdr:y>0.54545</cdr:y>
    </cdr:from>
    <cdr:to>
      <cdr:x>0.28774</cdr:x>
      <cdr:y>0.54545</cdr:y>
    </cdr:to>
    <cdr:sp macro="" textlink="">
      <cdr:nvSpPr>
        <cdr:cNvPr id="20" name="Straight Connector 19"/>
        <cdr:cNvSpPr/>
      </cdr:nvSpPr>
      <cdr:spPr>
        <a:xfrm xmlns:a="http://schemas.openxmlformats.org/drawingml/2006/main" rot="10800000" flipV="1">
          <a:off x="657224" y="2000250"/>
          <a:ext cx="1085850" cy="1"/>
        </a:xfrm>
        <a:prstGeom xmlns:a="http://schemas.openxmlformats.org/drawingml/2006/main" prst="line">
          <a:avLst/>
        </a:prstGeom>
        <a:ln xmlns:a="http://schemas.openxmlformats.org/drawingml/2006/main">
          <a:prstDash val="sys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0.10063</cdr:x>
      <cdr:y>0.33766</cdr:y>
    </cdr:from>
    <cdr:to>
      <cdr:x>0.17453</cdr:x>
      <cdr:y>0.41299</cdr:y>
    </cdr:to>
    <cdr:sp macro="" textlink="">
      <cdr:nvSpPr>
        <cdr:cNvPr id="21" name="TextBox 20"/>
        <cdr:cNvSpPr txBox="1"/>
      </cdr:nvSpPr>
      <cdr:spPr>
        <a:xfrm xmlns:a="http://schemas.openxmlformats.org/drawingml/2006/main">
          <a:off x="609600" y="1238251"/>
          <a:ext cx="4476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latin typeface="Times New Roman" pitchFamily="18" charset="0"/>
              <a:cs typeface="Times New Roman" pitchFamily="18" charset="0"/>
            </a:rPr>
            <a:t>T</a:t>
          </a:r>
          <a:r>
            <a:rPr lang="en-US" sz="1100" baseline="-25000">
              <a:latin typeface="Times New Roman" pitchFamily="18" charset="0"/>
              <a:cs typeface="Times New Roman" pitchFamily="18" charset="0"/>
            </a:rPr>
            <a:t>f 1</a:t>
          </a:r>
        </a:p>
      </cdr:txBody>
    </cdr:sp>
  </cdr:relSizeAnchor>
  <cdr:relSizeAnchor xmlns:cdr="http://schemas.openxmlformats.org/drawingml/2006/chartDrawing">
    <cdr:from>
      <cdr:x>0.1022</cdr:x>
      <cdr:y>0.48312</cdr:y>
    </cdr:from>
    <cdr:to>
      <cdr:x>0.1761</cdr:x>
      <cdr:y>0.55844</cdr:y>
    </cdr:to>
    <cdr:sp macro="" textlink="">
      <cdr:nvSpPr>
        <cdr:cNvPr id="22" name="TextBox 1"/>
        <cdr:cNvSpPr txBox="1"/>
      </cdr:nvSpPr>
      <cdr:spPr>
        <a:xfrm xmlns:a="http://schemas.openxmlformats.org/drawingml/2006/main">
          <a:off x="619125" y="1771650"/>
          <a:ext cx="447675"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a:latin typeface="Times New Roman" pitchFamily="18" charset="0"/>
              <a:cs typeface="Times New Roman" pitchFamily="18" charset="0"/>
            </a:rPr>
            <a:t>T</a:t>
          </a:r>
          <a:r>
            <a:rPr lang="en-US" sz="1100" baseline="-25000">
              <a:latin typeface="Times New Roman" pitchFamily="18" charset="0"/>
              <a:cs typeface="Times New Roman" pitchFamily="18" charset="0"/>
            </a:rPr>
            <a:t>f 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3F0DF-AB05-4152-A794-C7A70656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Molar Mass Determination by Depression of Freezing Point (Alternate Procedure)</vt:lpstr>
    </vt:vector>
  </TitlesOfParts>
  <Company>Skidmore College</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Molar Mass Determination by Depression of Freezing Point (Alternate Procedure)</dc:title>
  <dc:creator>Skidmore College</dc:creator>
  <cp:lastModifiedBy>kcetto</cp:lastModifiedBy>
  <cp:revision>2</cp:revision>
  <cp:lastPrinted>2010-05-10T21:06:00Z</cp:lastPrinted>
  <dcterms:created xsi:type="dcterms:W3CDTF">2014-02-15T19:32:00Z</dcterms:created>
  <dcterms:modified xsi:type="dcterms:W3CDTF">2014-02-15T19:32:00Z</dcterms:modified>
</cp:coreProperties>
</file>