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72C0" w14:textId="77777777" w:rsidR="00EF3133" w:rsidRDefault="00AC0AF9" w:rsidP="00AC0AF9">
      <w:pPr>
        <w:spacing w:after="240"/>
        <w:rPr>
          <w:rFonts w:ascii="Times" w:eastAsia="Times New Roman" w:hAnsi="Times" w:cs="Times New Roman"/>
          <w:sz w:val="20"/>
          <w:szCs w:val="20"/>
        </w:rPr>
      </w:pPr>
      <w:bookmarkStart w:id="0" w:name="_GoBack"/>
      <w:bookmarkEnd w:id="0"/>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r w:rsidRPr="00031DAD">
        <w:rPr>
          <w:rFonts w:ascii="Times" w:eastAsia="Times New Roman" w:hAnsi="Times" w:cs="Times New Roman"/>
          <w:sz w:val="20"/>
          <w:szCs w:val="20"/>
        </w:rPr>
        <w:br/>
      </w:r>
    </w:p>
    <w:p w14:paraId="0ED348A8" w14:textId="77777777" w:rsidR="00EF3133" w:rsidRDefault="00EF3133" w:rsidP="00AC0AF9">
      <w:pPr>
        <w:spacing w:after="240"/>
        <w:rPr>
          <w:rFonts w:ascii="Times" w:eastAsia="Times New Roman" w:hAnsi="Times" w:cs="Times New Roman"/>
          <w:sz w:val="20"/>
          <w:szCs w:val="20"/>
        </w:rPr>
      </w:pPr>
    </w:p>
    <w:p w14:paraId="5A9720DB" w14:textId="77777777" w:rsidR="00EF3133" w:rsidRDefault="00EF3133" w:rsidP="00AC0AF9">
      <w:pPr>
        <w:spacing w:after="240"/>
        <w:rPr>
          <w:rFonts w:ascii="Times" w:eastAsia="Times New Roman" w:hAnsi="Times" w:cs="Times New Roman"/>
          <w:sz w:val="20"/>
          <w:szCs w:val="20"/>
        </w:rPr>
      </w:pPr>
    </w:p>
    <w:p w14:paraId="06F70F8C" w14:textId="77777777" w:rsidR="00EF3133" w:rsidRDefault="00EF3133" w:rsidP="00AC0AF9">
      <w:pPr>
        <w:spacing w:after="240"/>
        <w:rPr>
          <w:rFonts w:ascii="Times" w:eastAsia="Times New Roman" w:hAnsi="Times" w:cs="Times New Roman"/>
          <w:sz w:val="20"/>
          <w:szCs w:val="20"/>
        </w:rPr>
      </w:pPr>
    </w:p>
    <w:p w14:paraId="3A4E3E2A" w14:textId="362A11BB" w:rsidR="00AC0AF9" w:rsidRPr="00031DAD" w:rsidRDefault="00AC0AF9" w:rsidP="00AC0AF9">
      <w:pPr>
        <w:spacing w:after="240"/>
        <w:rPr>
          <w:rFonts w:ascii="Times" w:eastAsia="Times New Roman" w:hAnsi="Times" w:cs="Times New Roman"/>
          <w:sz w:val="20"/>
          <w:szCs w:val="20"/>
        </w:rPr>
      </w:pPr>
      <w:r w:rsidRPr="00031DAD">
        <w:rPr>
          <w:rFonts w:ascii="Times" w:eastAsia="Times New Roman" w:hAnsi="Times" w:cs="Times New Roman"/>
          <w:sz w:val="20"/>
          <w:szCs w:val="20"/>
        </w:rPr>
        <w:br/>
      </w:r>
    </w:p>
    <w:p w14:paraId="66B39C55" w14:textId="77777777" w:rsidR="00AC0AF9" w:rsidRDefault="00AC0AF9" w:rsidP="00AC0AF9">
      <w:pPr>
        <w:jc w:val="center"/>
        <w:rPr>
          <w:rFonts w:cs="Times New Roman"/>
          <w:b/>
          <w:bCs/>
          <w:color w:val="000000"/>
          <w:sz w:val="48"/>
          <w:szCs w:val="48"/>
        </w:rPr>
      </w:pPr>
      <w:r>
        <w:rPr>
          <w:rFonts w:cs="Times New Roman"/>
          <w:b/>
          <w:bCs/>
          <w:color w:val="000000"/>
          <w:sz w:val="48"/>
          <w:szCs w:val="48"/>
        </w:rPr>
        <w:t xml:space="preserve">Easy Being Green? </w:t>
      </w:r>
    </w:p>
    <w:p w14:paraId="1381693C" w14:textId="77777777" w:rsidR="00AC0AF9" w:rsidRPr="00AC0AF9" w:rsidRDefault="00AC0AF9" w:rsidP="00AC0AF9">
      <w:pPr>
        <w:jc w:val="center"/>
        <w:rPr>
          <w:rFonts w:ascii="Times" w:hAnsi="Times" w:cs="Times New Roman"/>
          <w:sz w:val="36"/>
          <w:szCs w:val="36"/>
        </w:rPr>
      </w:pPr>
      <w:r w:rsidRPr="00AC0AF9">
        <w:rPr>
          <w:rFonts w:cs="Times New Roman"/>
          <w:b/>
          <w:bCs/>
          <w:color w:val="000000"/>
          <w:sz w:val="36"/>
          <w:szCs w:val="36"/>
        </w:rPr>
        <w:t>The Effects of Environmental Marketing on Millennials Consumer Behavior</w:t>
      </w:r>
    </w:p>
    <w:p w14:paraId="66AEDC0A" w14:textId="77777777" w:rsidR="00AC0AF9" w:rsidRPr="00031DAD" w:rsidRDefault="00AC0AF9" w:rsidP="00AC0AF9">
      <w:pPr>
        <w:jc w:val="center"/>
        <w:rPr>
          <w:rFonts w:ascii="Times" w:hAnsi="Times" w:cs="Times New Roman"/>
          <w:sz w:val="20"/>
          <w:szCs w:val="20"/>
        </w:rPr>
      </w:pPr>
    </w:p>
    <w:p w14:paraId="5D3C6324" w14:textId="77777777" w:rsidR="00AC0AF9" w:rsidRPr="00031DAD" w:rsidRDefault="00AC0AF9" w:rsidP="00AC0AF9">
      <w:pPr>
        <w:jc w:val="center"/>
        <w:rPr>
          <w:rFonts w:ascii="Times" w:hAnsi="Times" w:cs="Times New Roman"/>
          <w:sz w:val="20"/>
          <w:szCs w:val="20"/>
        </w:rPr>
      </w:pPr>
      <w:r>
        <w:rPr>
          <w:rFonts w:cs="Times New Roman"/>
          <w:color w:val="000000"/>
        </w:rPr>
        <w:t xml:space="preserve">By </w:t>
      </w:r>
      <w:r w:rsidRPr="00031DAD">
        <w:rPr>
          <w:rFonts w:cs="Times New Roman"/>
          <w:color w:val="000000"/>
        </w:rPr>
        <w:t>Elizabeth Dolan, Natalie McKeon, Sarah Mellon</w:t>
      </w:r>
    </w:p>
    <w:p w14:paraId="70B4516A" w14:textId="77777777" w:rsidR="00AC0AF9" w:rsidRPr="00031DAD" w:rsidRDefault="00AC0AF9" w:rsidP="00AC0AF9">
      <w:pPr>
        <w:jc w:val="center"/>
        <w:rPr>
          <w:rFonts w:ascii="Times" w:hAnsi="Times" w:cs="Times New Roman"/>
          <w:sz w:val="20"/>
          <w:szCs w:val="20"/>
        </w:rPr>
      </w:pPr>
      <w:r>
        <w:rPr>
          <w:rFonts w:cs="Times New Roman"/>
          <w:color w:val="000000"/>
        </w:rPr>
        <w:t xml:space="preserve">Capstone </w:t>
      </w:r>
      <w:r w:rsidRPr="00031DAD">
        <w:rPr>
          <w:rFonts w:cs="Times New Roman"/>
          <w:color w:val="000000"/>
        </w:rPr>
        <w:t>Faculty Advisor: Bob Turner</w:t>
      </w:r>
    </w:p>
    <w:p w14:paraId="50A43A94" w14:textId="77777777" w:rsidR="00AC0AF9" w:rsidRPr="00AC0AF9" w:rsidRDefault="00AC0AF9" w:rsidP="00AC0AF9">
      <w:pPr>
        <w:jc w:val="center"/>
        <w:rPr>
          <w:rFonts w:ascii="Times" w:hAnsi="Times" w:cs="Times New Roman"/>
          <w:sz w:val="20"/>
          <w:szCs w:val="20"/>
        </w:rPr>
      </w:pPr>
      <w:r w:rsidRPr="00031DAD">
        <w:rPr>
          <w:rFonts w:cs="Times New Roman"/>
          <w:color w:val="000000"/>
        </w:rPr>
        <w:t xml:space="preserve">Skidmore College Environmental Studies </w:t>
      </w:r>
      <w:r>
        <w:rPr>
          <w:rFonts w:cs="Times New Roman"/>
          <w:color w:val="000000"/>
        </w:rPr>
        <w:t>Department</w:t>
      </w:r>
      <w:r>
        <w:rPr>
          <w:rFonts w:cs="Times New Roman"/>
          <w:color w:val="000000"/>
        </w:rPr>
        <w:br w:type="page"/>
      </w:r>
    </w:p>
    <w:p w14:paraId="3F9F6BA7" w14:textId="77777777" w:rsidR="005B03C1" w:rsidRDefault="009E25BF">
      <w:pPr>
        <w:rPr>
          <w:b/>
        </w:rPr>
      </w:pPr>
      <w:r>
        <w:rPr>
          <w:b/>
        </w:rPr>
        <w:lastRenderedPageBreak/>
        <w:t>ACKNOWLEDGEMENTS</w:t>
      </w:r>
    </w:p>
    <w:p w14:paraId="11E254B0" w14:textId="77777777" w:rsidR="005B03C1" w:rsidRDefault="005B03C1">
      <w:pPr>
        <w:rPr>
          <w:b/>
        </w:rPr>
      </w:pPr>
    </w:p>
    <w:p w14:paraId="0B3CE28B" w14:textId="07E8C417" w:rsidR="009E25BF" w:rsidRPr="005B03C1" w:rsidRDefault="005B03C1">
      <w:pPr>
        <w:rPr>
          <w:rFonts w:cs="Times New Roman"/>
          <w:b/>
        </w:rPr>
      </w:pPr>
      <w:r w:rsidRPr="005B03C1">
        <w:rPr>
          <w:rFonts w:cs="Times New Roman"/>
        </w:rPr>
        <w:t xml:space="preserve">We would like to thank the following professors of Skidmore College for their continual support and assistance </w:t>
      </w:r>
      <w:r>
        <w:rPr>
          <w:rFonts w:cs="Times New Roman"/>
        </w:rPr>
        <w:t>throughout</w:t>
      </w:r>
      <w:r w:rsidRPr="005B03C1">
        <w:rPr>
          <w:rFonts w:cs="Times New Roman"/>
        </w:rPr>
        <w:t xml:space="preserve"> our </w:t>
      </w:r>
      <w:r>
        <w:rPr>
          <w:rFonts w:cs="Times New Roman"/>
        </w:rPr>
        <w:t>capstone</w:t>
      </w:r>
      <w:r w:rsidRPr="005B03C1">
        <w:rPr>
          <w:rFonts w:cs="Times New Roman"/>
        </w:rPr>
        <w:t xml:space="preserve"> project: </w:t>
      </w:r>
      <w:r>
        <w:rPr>
          <w:rFonts w:cs="Times New Roman"/>
        </w:rPr>
        <w:t xml:space="preserve">our </w:t>
      </w:r>
      <w:r w:rsidRPr="005B03C1">
        <w:rPr>
          <w:rFonts w:cs="Times New Roman"/>
        </w:rPr>
        <w:t>project advisor</w:t>
      </w:r>
      <w:r>
        <w:rPr>
          <w:rFonts w:cs="Times New Roman"/>
        </w:rPr>
        <w:t>,</w:t>
      </w:r>
      <w:r w:rsidRPr="005B03C1">
        <w:rPr>
          <w:rFonts w:cs="Times New Roman"/>
        </w:rPr>
        <w:t xml:space="preserve"> Bob Turner, head of the E</w:t>
      </w:r>
      <w:r>
        <w:rPr>
          <w:rFonts w:cs="Times New Roman"/>
        </w:rPr>
        <w:t>nvironmental Studies Department;</w:t>
      </w:r>
      <w:r w:rsidRPr="005B03C1">
        <w:rPr>
          <w:rFonts w:cs="Times New Roman"/>
        </w:rPr>
        <w:t xml:space="preserve"> Mary Tabe</w:t>
      </w:r>
      <w:r w:rsidR="00112901">
        <w:rPr>
          <w:rFonts w:cs="Times New Roman"/>
        </w:rPr>
        <w:t>r of the Mathematics Department;</w:t>
      </w:r>
      <w:r w:rsidRPr="005B03C1">
        <w:rPr>
          <w:rFonts w:cs="Times New Roman"/>
        </w:rPr>
        <w:t xml:space="preserve"> and Christine Page of the Business Department. </w:t>
      </w:r>
      <w:r w:rsidR="00112901">
        <w:rPr>
          <w:rFonts w:cs="Times New Roman"/>
        </w:rPr>
        <w:t>In addition, we would like to thank Skidmore College</w:t>
      </w:r>
      <w:r w:rsidR="00FA5758">
        <w:rPr>
          <w:rFonts w:cs="Times New Roman"/>
        </w:rPr>
        <w:t xml:space="preserve"> for generously providing us with Student Opportunity Funding, without which our project would not have been possible.</w:t>
      </w:r>
      <w:r w:rsidR="009E25BF" w:rsidRPr="005B03C1">
        <w:rPr>
          <w:rFonts w:cs="Times New Roman"/>
          <w:b/>
        </w:rPr>
        <w:br w:type="page"/>
      </w:r>
    </w:p>
    <w:p w14:paraId="4627A7D6" w14:textId="2B20251F" w:rsidR="009E25BF" w:rsidRDefault="009E25BF" w:rsidP="009E25BF">
      <w:pPr>
        <w:rPr>
          <w:b/>
        </w:rPr>
      </w:pPr>
      <w:r>
        <w:rPr>
          <w:b/>
        </w:rPr>
        <w:t>TABLE OF CONTENTS</w:t>
      </w:r>
    </w:p>
    <w:p w14:paraId="7A5E863E" w14:textId="77777777" w:rsidR="009E25BF" w:rsidRDefault="009E25BF" w:rsidP="009E25BF">
      <w:pPr>
        <w:rPr>
          <w:b/>
        </w:rPr>
      </w:pPr>
    </w:p>
    <w:p w14:paraId="1750FFFF" w14:textId="4CB0F8B8" w:rsidR="009E25BF" w:rsidRPr="00155E1C" w:rsidRDefault="009E25BF" w:rsidP="009E25BF">
      <w:pPr>
        <w:tabs>
          <w:tab w:val="left" w:leader="dot" w:pos="8640"/>
        </w:tabs>
      </w:pPr>
      <w:r>
        <w:rPr>
          <w:b/>
        </w:rPr>
        <w:t xml:space="preserve">ABSTRACT </w:t>
      </w:r>
      <w:r>
        <w:rPr>
          <w:b/>
        </w:rPr>
        <w:tab/>
      </w:r>
      <w:r w:rsidR="007926A5">
        <w:rPr>
          <w:b/>
        </w:rPr>
        <w:t>4</w:t>
      </w:r>
    </w:p>
    <w:p w14:paraId="19799CB3" w14:textId="77777777" w:rsidR="009E25BF" w:rsidRDefault="009E25BF" w:rsidP="009E25BF">
      <w:pPr>
        <w:rPr>
          <w:b/>
        </w:rPr>
      </w:pPr>
    </w:p>
    <w:p w14:paraId="697D484E" w14:textId="5F47DAFA" w:rsidR="009E25BF" w:rsidRDefault="009E25BF" w:rsidP="009E25BF">
      <w:pPr>
        <w:tabs>
          <w:tab w:val="left" w:leader="dot" w:pos="8640"/>
        </w:tabs>
      </w:pPr>
      <w:r>
        <w:rPr>
          <w:b/>
        </w:rPr>
        <w:t>INTRODUCTION</w:t>
      </w:r>
      <w:r>
        <w:rPr>
          <w:b/>
        </w:rPr>
        <w:tab/>
      </w:r>
      <w:r w:rsidR="007926A5">
        <w:rPr>
          <w:b/>
        </w:rPr>
        <w:t>5</w:t>
      </w:r>
    </w:p>
    <w:p w14:paraId="064BCAE8" w14:textId="77777777" w:rsidR="009E25BF" w:rsidRDefault="009E25BF" w:rsidP="009E25BF"/>
    <w:p w14:paraId="24B3CF58" w14:textId="7835E1B5" w:rsidR="009E25BF" w:rsidRPr="00956FD5" w:rsidRDefault="009E25BF" w:rsidP="009E25BF">
      <w:pPr>
        <w:tabs>
          <w:tab w:val="left" w:leader="dot" w:pos="8640"/>
        </w:tabs>
        <w:ind w:firstLine="720"/>
        <w:rPr>
          <w:b/>
        </w:rPr>
      </w:pPr>
      <w:r>
        <w:rPr>
          <w:b/>
        </w:rPr>
        <w:t>Green Consumerism and CSR: A New Market</w:t>
      </w:r>
      <w:r>
        <w:rPr>
          <w:b/>
        </w:rPr>
        <w:tab/>
      </w:r>
      <w:r w:rsidR="007926A5">
        <w:rPr>
          <w:b/>
        </w:rPr>
        <w:t>6</w:t>
      </w:r>
    </w:p>
    <w:p w14:paraId="21262B20" w14:textId="77777777" w:rsidR="009E25BF" w:rsidRDefault="009E25BF" w:rsidP="009E25BF">
      <w:pPr>
        <w:rPr>
          <w:b/>
        </w:rPr>
      </w:pPr>
    </w:p>
    <w:p w14:paraId="50514164" w14:textId="7381EEED" w:rsidR="009E25BF" w:rsidRDefault="00375866" w:rsidP="009E25BF">
      <w:pPr>
        <w:tabs>
          <w:tab w:val="left" w:leader="dot" w:pos="8640"/>
        </w:tabs>
        <w:ind w:firstLine="720"/>
      </w:pPr>
      <w:r>
        <w:rPr>
          <w:rFonts w:cs="Times New Roman"/>
          <w:b/>
          <w:color w:val="000000"/>
        </w:rPr>
        <w:t>Environmental Marketing Strategies: The Applicability of Green Labeling</w:t>
      </w:r>
      <w:r w:rsidR="009E25BF">
        <w:rPr>
          <w:b/>
        </w:rPr>
        <w:tab/>
      </w:r>
      <w:r w:rsidR="007926A5">
        <w:rPr>
          <w:b/>
        </w:rPr>
        <w:t>9</w:t>
      </w:r>
    </w:p>
    <w:p w14:paraId="58468034" w14:textId="77777777" w:rsidR="009E25BF" w:rsidRDefault="009E25BF" w:rsidP="009E25BF"/>
    <w:p w14:paraId="601CB19C" w14:textId="5DDC5B5F" w:rsidR="009E25BF" w:rsidRDefault="009E25BF" w:rsidP="009E25BF">
      <w:pPr>
        <w:tabs>
          <w:tab w:val="left" w:leader="dot" w:pos="8640"/>
        </w:tabs>
        <w:ind w:firstLine="720"/>
      </w:pPr>
      <w:r>
        <w:rPr>
          <w:b/>
        </w:rPr>
        <w:t>Millennials and the Green Consumer</w:t>
      </w:r>
      <w:r>
        <w:rPr>
          <w:b/>
        </w:rPr>
        <w:tab/>
      </w:r>
      <w:r w:rsidR="007F0064">
        <w:rPr>
          <w:b/>
        </w:rPr>
        <w:t>1</w:t>
      </w:r>
      <w:r w:rsidR="007926A5">
        <w:rPr>
          <w:b/>
        </w:rPr>
        <w:t>1</w:t>
      </w:r>
    </w:p>
    <w:p w14:paraId="47D696B9" w14:textId="77777777" w:rsidR="009E25BF" w:rsidRDefault="009E25BF" w:rsidP="009E25BF"/>
    <w:p w14:paraId="3448D78B" w14:textId="43083598" w:rsidR="009E25BF" w:rsidRDefault="009E25BF" w:rsidP="009E25BF">
      <w:pPr>
        <w:tabs>
          <w:tab w:val="left" w:leader="dot" w:pos="8640"/>
        </w:tabs>
        <w:rPr>
          <w:b/>
        </w:rPr>
      </w:pPr>
      <w:r>
        <w:rPr>
          <w:b/>
        </w:rPr>
        <w:t>METHODS</w:t>
      </w:r>
      <w:r>
        <w:rPr>
          <w:b/>
        </w:rPr>
        <w:tab/>
        <w:t>1</w:t>
      </w:r>
      <w:r w:rsidR="007926A5">
        <w:rPr>
          <w:b/>
        </w:rPr>
        <w:t>5</w:t>
      </w:r>
    </w:p>
    <w:p w14:paraId="0573C579" w14:textId="77777777" w:rsidR="00095708" w:rsidRDefault="00095708" w:rsidP="00095708">
      <w:pPr>
        <w:tabs>
          <w:tab w:val="left" w:leader="dot" w:pos="8640"/>
        </w:tabs>
        <w:ind w:firstLine="720"/>
        <w:rPr>
          <w:b/>
        </w:rPr>
      </w:pPr>
    </w:p>
    <w:p w14:paraId="0AB3A6F6" w14:textId="7E2577D9" w:rsidR="00095708" w:rsidRDefault="00BE6693" w:rsidP="00095708">
      <w:pPr>
        <w:tabs>
          <w:tab w:val="left" w:leader="dot" w:pos="8640"/>
        </w:tabs>
        <w:ind w:firstLine="720"/>
        <w:rPr>
          <w:b/>
        </w:rPr>
      </w:pPr>
      <w:r>
        <w:rPr>
          <w:b/>
        </w:rPr>
        <w:t>Survey</w:t>
      </w:r>
      <w:r>
        <w:rPr>
          <w:b/>
        </w:rPr>
        <w:tab/>
        <w:t>1</w:t>
      </w:r>
      <w:r w:rsidR="007926A5">
        <w:rPr>
          <w:b/>
        </w:rPr>
        <w:t>5</w:t>
      </w:r>
    </w:p>
    <w:p w14:paraId="39BC9B0E" w14:textId="39FE8333" w:rsidR="00095708" w:rsidRDefault="00095708" w:rsidP="00095708">
      <w:pPr>
        <w:tabs>
          <w:tab w:val="left" w:leader="dot" w:pos="8640"/>
        </w:tabs>
        <w:ind w:firstLine="720"/>
        <w:rPr>
          <w:b/>
        </w:rPr>
      </w:pPr>
    </w:p>
    <w:p w14:paraId="139544A0" w14:textId="39810C42" w:rsidR="00095708" w:rsidRDefault="00095708" w:rsidP="00095708">
      <w:pPr>
        <w:tabs>
          <w:tab w:val="left" w:leader="dot" w:pos="8640"/>
        </w:tabs>
        <w:ind w:firstLine="720"/>
      </w:pPr>
      <w:r>
        <w:rPr>
          <w:b/>
        </w:rPr>
        <w:t>Social Experiment</w:t>
      </w:r>
      <w:r>
        <w:rPr>
          <w:b/>
        </w:rPr>
        <w:tab/>
      </w:r>
      <w:r w:rsidR="00BE6693">
        <w:rPr>
          <w:b/>
        </w:rPr>
        <w:t>1</w:t>
      </w:r>
      <w:r w:rsidR="007926A5">
        <w:rPr>
          <w:b/>
        </w:rPr>
        <w:t>7</w:t>
      </w:r>
    </w:p>
    <w:p w14:paraId="60766E1D" w14:textId="77777777" w:rsidR="00095708" w:rsidRDefault="00095708" w:rsidP="00095708">
      <w:pPr>
        <w:rPr>
          <w:b/>
        </w:rPr>
      </w:pPr>
    </w:p>
    <w:p w14:paraId="1BB505FE" w14:textId="0D040E3A" w:rsidR="00095708" w:rsidRPr="00CF3A91" w:rsidRDefault="00BE6693" w:rsidP="00095708">
      <w:pPr>
        <w:tabs>
          <w:tab w:val="left" w:leader="dot" w:pos="8640"/>
        </w:tabs>
        <w:ind w:firstLine="720"/>
        <w:rPr>
          <w:b/>
        </w:rPr>
      </w:pPr>
      <w:r>
        <w:rPr>
          <w:b/>
        </w:rPr>
        <w:t>Focus Group</w:t>
      </w:r>
      <w:r>
        <w:rPr>
          <w:b/>
        </w:rPr>
        <w:tab/>
      </w:r>
      <w:r w:rsidR="007926A5">
        <w:rPr>
          <w:b/>
        </w:rPr>
        <w:t>18</w:t>
      </w:r>
    </w:p>
    <w:p w14:paraId="6981BEC5" w14:textId="77777777" w:rsidR="009E25BF" w:rsidRDefault="009E25BF" w:rsidP="009E25BF"/>
    <w:p w14:paraId="31806C26" w14:textId="49AB42DB" w:rsidR="009E25BF" w:rsidRDefault="009E25BF" w:rsidP="009E25BF">
      <w:pPr>
        <w:tabs>
          <w:tab w:val="left" w:leader="dot" w:pos="8640"/>
        </w:tabs>
        <w:rPr>
          <w:b/>
        </w:rPr>
      </w:pPr>
      <w:r>
        <w:rPr>
          <w:b/>
        </w:rPr>
        <w:t>FINDINGS</w:t>
      </w:r>
      <w:r>
        <w:rPr>
          <w:b/>
        </w:rPr>
        <w:tab/>
      </w:r>
      <w:r w:rsidR="007926A5">
        <w:rPr>
          <w:b/>
        </w:rPr>
        <w:t>20</w:t>
      </w:r>
    </w:p>
    <w:p w14:paraId="26C1CCD1" w14:textId="77777777" w:rsidR="009E25BF" w:rsidRDefault="009E25BF" w:rsidP="009E25BF">
      <w:pPr>
        <w:tabs>
          <w:tab w:val="left" w:leader="dot" w:pos="8640"/>
        </w:tabs>
        <w:rPr>
          <w:b/>
        </w:rPr>
      </w:pPr>
    </w:p>
    <w:p w14:paraId="73DB2DB0" w14:textId="47460BBA" w:rsidR="009E25BF" w:rsidRDefault="00DB3830" w:rsidP="009E25BF">
      <w:pPr>
        <w:tabs>
          <w:tab w:val="left" w:leader="dot" w:pos="8640"/>
        </w:tabs>
        <w:ind w:firstLine="720"/>
        <w:rPr>
          <w:b/>
        </w:rPr>
      </w:pPr>
      <w:r>
        <w:rPr>
          <w:b/>
        </w:rPr>
        <w:t>Millennials Have Strong Environmental Values</w:t>
      </w:r>
      <w:r w:rsidR="009E25BF">
        <w:rPr>
          <w:b/>
        </w:rPr>
        <w:tab/>
        <w:t>2</w:t>
      </w:r>
      <w:r w:rsidR="007926A5">
        <w:rPr>
          <w:b/>
        </w:rPr>
        <w:t>0</w:t>
      </w:r>
    </w:p>
    <w:p w14:paraId="3A74A8E2" w14:textId="77777777" w:rsidR="009E25BF" w:rsidRDefault="009E25BF" w:rsidP="009E25BF">
      <w:pPr>
        <w:rPr>
          <w:b/>
        </w:rPr>
      </w:pPr>
    </w:p>
    <w:p w14:paraId="445B7B9B" w14:textId="656A2697" w:rsidR="009E25BF" w:rsidRDefault="00DB3830" w:rsidP="009E25BF">
      <w:pPr>
        <w:tabs>
          <w:tab w:val="left" w:leader="dot" w:pos="8640"/>
        </w:tabs>
        <w:ind w:firstLine="720"/>
      </w:pPr>
      <w:r>
        <w:rPr>
          <w:b/>
        </w:rPr>
        <w:t>Environmental Considerations Variably Factor into Purchasing Behaviors</w:t>
      </w:r>
      <w:r w:rsidR="009E25BF">
        <w:rPr>
          <w:b/>
        </w:rPr>
        <w:tab/>
        <w:t>2</w:t>
      </w:r>
      <w:r w:rsidR="007926A5">
        <w:rPr>
          <w:b/>
        </w:rPr>
        <w:t>1</w:t>
      </w:r>
    </w:p>
    <w:p w14:paraId="04A1D117" w14:textId="77777777" w:rsidR="009E25BF" w:rsidRDefault="009E25BF" w:rsidP="009E25BF">
      <w:pPr>
        <w:rPr>
          <w:b/>
        </w:rPr>
      </w:pPr>
    </w:p>
    <w:p w14:paraId="4EDF026C" w14:textId="172FFC70" w:rsidR="009E25BF" w:rsidRDefault="00DB3830" w:rsidP="009E25BF">
      <w:pPr>
        <w:tabs>
          <w:tab w:val="left" w:leader="dot" w:pos="8640"/>
        </w:tabs>
        <w:ind w:firstLine="720"/>
        <w:rPr>
          <w:b/>
        </w:rPr>
      </w:pPr>
      <w:r>
        <w:rPr>
          <w:b/>
        </w:rPr>
        <w:t>Millennials Put Little Pressure on Companies to “Go Green”</w:t>
      </w:r>
      <w:r w:rsidR="009E25BF">
        <w:rPr>
          <w:b/>
        </w:rPr>
        <w:tab/>
        <w:t>2</w:t>
      </w:r>
      <w:r w:rsidR="007926A5">
        <w:rPr>
          <w:b/>
        </w:rPr>
        <w:t>1</w:t>
      </w:r>
    </w:p>
    <w:p w14:paraId="752DD49B" w14:textId="77777777" w:rsidR="00DB3830" w:rsidRDefault="00DB3830" w:rsidP="00DB3830">
      <w:pPr>
        <w:tabs>
          <w:tab w:val="left" w:leader="dot" w:pos="8640"/>
        </w:tabs>
        <w:ind w:firstLine="720"/>
        <w:rPr>
          <w:b/>
        </w:rPr>
      </w:pPr>
    </w:p>
    <w:p w14:paraId="088BD459" w14:textId="7BF838C5" w:rsidR="00DB3830" w:rsidRDefault="00DB3830" w:rsidP="00DB3830">
      <w:pPr>
        <w:tabs>
          <w:tab w:val="left" w:leader="dot" w:pos="8640"/>
        </w:tabs>
        <w:ind w:firstLine="720"/>
        <w:rPr>
          <w:b/>
        </w:rPr>
      </w:pPr>
      <w:r>
        <w:rPr>
          <w:b/>
        </w:rPr>
        <w:t>Brand Loyalty</w:t>
      </w:r>
      <w:r w:rsidR="00F134CC">
        <w:rPr>
          <w:b/>
        </w:rPr>
        <w:t xml:space="preserve"> Matters</w:t>
      </w:r>
      <w:r w:rsidR="007F0064">
        <w:rPr>
          <w:b/>
        </w:rPr>
        <w:tab/>
        <w:t>2</w:t>
      </w:r>
      <w:r w:rsidR="007926A5">
        <w:rPr>
          <w:b/>
        </w:rPr>
        <w:t>2</w:t>
      </w:r>
    </w:p>
    <w:p w14:paraId="7511083F" w14:textId="77777777" w:rsidR="00F134CC" w:rsidRDefault="00F134CC" w:rsidP="00F134CC">
      <w:pPr>
        <w:tabs>
          <w:tab w:val="left" w:leader="dot" w:pos="8640"/>
        </w:tabs>
        <w:ind w:firstLine="720"/>
        <w:rPr>
          <w:b/>
        </w:rPr>
      </w:pPr>
    </w:p>
    <w:p w14:paraId="5FB62F9E" w14:textId="27F5A78F" w:rsidR="00F134CC" w:rsidRDefault="00F134CC" w:rsidP="00F134CC">
      <w:pPr>
        <w:tabs>
          <w:tab w:val="left" w:leader="dot" w:pos="8640"/>
        </w:tabs>
        <w:ind w:firstLine="720"/>
        <w:rPr>
          <w:b/>
        </w:rPr>
      </w:pPr>
      <w:r>
        <w:rPr>
          <w:b/>
        </w:rPr>
        <w:t>Millennials Struggle to Identify and Interpret Environmental Labels</w:t>
      </w:r>
      <w:r w:rsidR="007F0064">
        <w:rPr>
          <w:b/>
        </w:rPr>
        <w:tab/>
        <w:t>2</w:t>
      </w:r>
      <w:r w:rsidR="007926A5">
        <w:rPr>
          <w:b/>
        </w:rPr>
        <w:t>3</w:t>
      </w:r>
    </w:p>
    <w:p w14:paraId="2548089B" w14:textId="77777777" w:rsidR="005265D6" w:rsidRDefault="005265D6" w:rsidP="001E468F">
      <w:pPr>
        <w:tabs>
          <w:tab w:val="left" w:leader="dot" w:pos="8640"/>
        </w:tabs>
        <w:rPr>
          <w:b/>
        </w:rPr>
      </w:pPr>
    </w:p>
    <w:p w14:paraId="01A01735" w14:textId="5DA836DA" w:rsidR="005265D6" w:rsidRDefault="005265D6" w:rsidP="005265D6">
      <w:pPr>
        <w:tabs>
          <w:tab w:val="left" w:leader="dot" w:pos="8640"/>
        </w:tabs>
        <w:ind w:firstLine="720"/>
        <w:rPr>
          <w:b/>
        </w:rPr>
      </w:pPr>
      <w:r>
        <w:rPr>
          <w:rFonts w:cs="Times New Roman"/>
          <w:b/>
        </w:rPr>
        <w:t>Labeling Does Not Significantly Change Millennials’ Purchasing Behavior</w:t>
      </w:r>
      <w:r w:rsidR="001E468F">
        <w:rPr>
          <w:b/>
        </w:rPr>
        <w:tab/>
        <w:t>2</w:t>
      </w:r>
      <w:r w:rsidR="007926A5">
        <w:rPr>
          <w:b/>
        </w:rPr>
        <w:t>5</w:t>
      </w:r>
    </w:p>
    <w:p w14:paraId="701415D5" w14:textId="77777777" w:rsidR="001E468F" w:rsidRDefault="001E468F" w:rsidP="005265D6">
      <w:pPr>
        <w:tabs>
          <w:tab w:val="left" w:leader="dot" w:pos="8640"/>
        </w:tabs>
        <w:ind w:firstLine="720"/>
        <w:rPr>
          <w:b/>
        </w:rPr>
      </w:pPr>
    </w:p>
    <w:p w14:paraId="2797765A" w14:textId="117480BE" w:rsidR="001E468F" w:rsidRDefault="001E468F" w:rsidP="001E468F">
      <w:pPr>
        <w:tabs>
          <w:tab w:val="left" w:leader="dot" w:pos="8640"/>
        </w:tabs>
        <w:ind w:left="720"/>
        <w:rPr>
          <w:b/>
        </w:rPr>
      </w:pPr>
      <w:r>
        <w:rPr>
          <w:rFonts w:cs="Times New Roman"/>
          <w:b/>
        </w:rPr>
        <w:t>The Use of Green Labels Does Not Influence Millennials to Prefer Eco-Friendly Products</w:t>
      </w:r>
      <w:r>
        <w:rPr>
          <w:b/>
        </w:rPr>
        <w:tab/>
        <w:t>2</w:t>
      </w:r>
      <w:r w:rsidR="00215E96">
        <w:rPr>
          <w:b/>
        </w:rPr>
        <w:t>6</w:t>
      </w:r>
    </w:p>
    <w:p w14:paraId="212F1DD0" w14:textId="77777777" w:rsidR="001E468F" w:rsidRDefault="001E468F" w:rsidP="005265D6">
      <w:pPr>
        <w:tabs>
          <w:tab w:val="left" w:leader="dot" w:pos="8640"/>
        </w:tabs>
        <w:ind w:firstLine="720"/>
        <w:rPr>
          <w:b/>
        </w:rPr>
      </w:pPr>
    </w:p>
    <w:p w14:paraId="5C6CC35F" w14:textId="77777777" w:rsidR="009E25BF" w:rsidRDefault="009E25BF" w:rsidP="009E25BF">
      <w:pPr>
        <w:rPr>
          <w:b/>
        </w:rPr>
      </w:pPr>
    </w:p>
    <w:p w14:paraId="25FF93B0" w14:textId="08CD8C06" w:rsidR="009E25BF" w:rsidRPr="00D07227" w:rsidRDefault="00BE6693" w:rsidP="00D07227">
      <w:pPr>
        <w:tabs>
          <w:tab w:val="left" w:leader="dot" w:pos="8640"/>
        </w:tabs>
      </w:pPr>
      <w:r>
        <w:rPr>
          <w:b/>
        </w:rPr>
        <w:t>DISCUSSION</w:t>
      </w:r>
      <w:r>
        <w:rPr>
          <w:b/>
        </w:rPr>
        <w:tab/>
      </w:r>
      <w:r w:rsidR="00215E96">
        <w:rPr>
          <w:b/>
        </w:rPr>
        <w:t>28</w:t>
      </w:r>
    </w:p>
    <w:p w14:paraId="58D18D38" w14:textId="77777777" w:rsidR="009E25BF" w:rsidRDefault="009E25BF" w:rsidP="009E25BF">
      <w:pPr>
        <w:rPr>
          <w:b/>
        </w:rPr>
      </w:pPr>
    </w:p>
    <w:p w14:paraId="060962DC" w14:textId="50D2EF61" w:rsidR="009E25BF" w:rsidRDefault="009E25BF" w:rsidP="009E25BF">
      <w:pPr>
        <w:tabs>
          <w:tab w:val="left" w:leader="dot" w:pos="8640"/>
        </w:tabs>
        <w:rPr>
          <w:b/>
        </w:rPr>
      </w:pPr>
      <w:r>
        <w:rPr>
          <w:b/>
        </w:rPr>
        <w:t>BIBLIOGRAPHY</w:t>
      </w:r>
      <w:r>
        <w:rPr>
          <w:b/>
        </w:rPr>
        <w:tab/>
        <w:t>3</w:t>
      </w:r>
      <w:r w:rsidR="00215E96">
        <w:rPr>
          <w:b/>
        </w:rPr>
        <w:t>2</w:t>
      </w:r>
    </w:p>
    <w:p w14:paraId="765EABC4" w14:textId="77777777" w:rsidR="009E25BF" w:rsidRDefault="009E25BF" w:rsidP="009E25BF">
      <w:pPr>
        <w:rPr>
          <w:b/>
        </w:rPr>
      </w:pPr>
    </w:p>
    <w:p w14:paraId="18483214" w14:textId="47584832" w:rsidR="00D07227" w:rsidRDefault="00D07227" w:rsidP="00D07227">
      <w:pPr>
        <w:tabs>
          <w:tab w:val="left" w:leader="dot" w:pos="8640"/>
        </w:tabs>
        <w:rPr>
          <w:b/>
        </w:rPr>
      </w:pPr>
      <w:r>
        <w:rPr>
          <w:b/>
        </w:rPr>
        <w:t>APPENDIX 1: FIGURES</w:t>
      </w:r>
      <w:r>
        <w:rPr>
          <w:b/>
        </w:rPr>
        <w:tab/>
        <w:t>3</w:t>
      </w:r>
      <w:r w:rsidR="007926A5">
        <w:rPr>
          <w:b/>
        </w:rPr>
        <w:t>4</w:t>
      </w:r>
    </w:p>
    <w:p w14:paraId="59855745" w14:textId="77777777" w:rsidR="00D07227" w:rsidRDefault="00D07227" w:rsidP="009E25BF">
      <w:pPr>
        <w:rPr>
          <w:b/>
        </w:rPr>
      </w:pPr>
    </w:p>
    <w:p w14:paraId="24B5D6C0" w14:textId="5E670A24" w:rsidR="00D07227" w:rsidRDefault="00D07227" w:rsidP="00D07227">
      <w:pPr>
        <w:tabs>
          <w:tab w:val="left" w:leader="dot" w:pos="8640"/>
        </w:tabs>
        <w:rPr>
          <w:b/>
        </w:rPr>
      </w:pPr>
      <w:r>
        <w:rPr>
          <w:b/>
        </w:rPr>
        <w:t>APPENDIX 2: CHARTS</w:t>
      </w:r>
      <w:r>
        <w:rPr>
          <w:b/>
        </w:rPr>
        <w:tab/>
        <w:t>3</w:t>
      </w:r>
      <w:r w:rsidR="007926A5">
        <w:rPr>
          <w:b/>
        </w:rPr>
        <w:t>5</w:t>
      </w:r>
    </w:p>
    <w:p w14:paraId="3D4EDCB3" w14:textId="77777777" w:rsidR="00154408" w:rsidRDefault="00154408">
      <w:pPr>
        <w:rPr>
          <w:b/>
        </w:rPr>
      </w:pPr>
      <w:r>
        <w:rPr>
          <w:b/>
        </w:rPr>
        <w:br w:type="page"/>
      </w:r>
    </w:p>
    <w:p w14:paraId="0A2221EF" w14:textId="77777777" w:rsidR="00E0733F" w:rsidRDefault="00BE6693">
      <w:pPr>
        <w:rPr>
          <w:b/>
        </w:rPr>
      </w:pPr>
      <w:r>
        <w:rPr>
          <w:b/>
        </w:rPr>
        <w:t>ABSTRACT</w:t>
      </w:r>
    </w:p>
    <w:p w14:paraId="74E0DF7F" w14:textId="77777777" w:rsidR="00E0733F" w:rsidRDefault="00E0733F">
      <w:pPr>
        <w:rPr>
          <w:b/>
        </w:rPr>
      </w:pPr>
    </w:p>
    <w:p w14:paraId="644C3FB3" w14:textId="71EAFF1F" w:rsidR="00BE6693" w:rsidRPr="00E0733F" w:rsidRDefault="00E0733F" w:rsidP="00E0733F">
      <w:pPr>
        <w:ind w:firstLine="720"/>
        <w:rPr>
          <w:rFonts w:cs="Times New Roman"/>
          <w:b/>
          <w:i/>
        </w:rPr>
      </w:pPr>
      <w:r w:rsidRPr="00E0733F">
        <w:rPr>
          <w:rFonts w:cs="Times New Roman"/>
          <w:i/>
        </w:rPr>
        <w:t xml:space="preserve">Concern for the environment has been widespread among the Millennial Generation. However, the degree to which this ecological sentiment is translated into purchasing behavior is highly debated. A variety of studies have researched the use of eco-labels and their influence on purchasing behavior. The purpose of this study is to provide a brief review of how the environmentally conscious </w:t>
      </w:r>
      <w:proofErr w:type="gramStart"/>
      <w:r w:rsidRPr="00E0733F">
        <w:rPr>
          <w:rFonts w:cs="Times New Roman"/>
          <w:i/>
        </w:rPr>
        <w:t>Millennial</w:t>
      </w:r>
      <w:proofErr w:type="gramEnd"/>
      <w:r w:rsidRPr="00E0733F">
        <w:rPr>
          <w:rFonts w:cs="Times New Roman"/>
          <w:i/>
        </w:rPr>
        <w:t xml:space="preserve"> consumers responds to eco-labels in their purchasing behavior. A nationwide survey of 278 respondents was made to gather data, supplemented by 150 </w:t>
      </w:r>
      <w:proofErr w:type="gramStart"/>
      <w:r w:rsidRPr="00E0733F">
        <w:rPr>
          <w:rFonts w:cs="Times New Roman"/>
          <w:i/>
        </w:rPr>
        <w:t>participant</w:t>
      </w:r>
      <w:proofErr w:type="gramEnd"/>
      <w:r w:rsidRPr="00E0733F">
        <w:rPr>
          <w:rFonts w:cs="Times New Roman"/>
          <w:i/>
        </w:rPr>
        <w:t xml:space="preserve"> social experiment conducted at two academic institutions, and a 6 member focus group. Results indicate that ecologically conscious </w:t>
      </w:r>
      <w:proofErr w:type="gramStart"/>
      <w:r w:rsidRPr="00E0733F">
        <w:rPr>
          <w:rFonts w:cs="Times New Roman"/>
          <w:i/>
        </w:rPr>
        <w:t>Millennial</w:t>
      </w:r>
      <w:proofErr w:type="gramEnd"/>
      <w:r w:rsidRPr="00E0733F">
        <w:rPr>
          <w:rFonts w:cs="Times New Roman"/>
          <w:i/>
        </w:rPr>
        <w:t xml:space="preserve"> consumers struggle in their ability to identify and interpret eco-labels. More so, this population will be more likely to support green products that are associated with an strong, eco-friendly brand, indicated by clear and visually-appealing imagery. </w:t>
      </w:r>
      <w:r w:rsidR="00BE6693" w:rsidRPr="00E0733F">
        <w:rPr>
          <w:rFonts w:cs="Times New Roman"/>
          <w:b/>
          <w:i/>
        </w:rPr>
        <w:br w:type="page"/>
      </w:r>
    </w:p>
    <w:p w14:paraId="60FB730D" w14:textId="54A8A199" w:rsidR="0027163D" w:rsidRDefault="00154408" w:rsidP="009E25BF">
      <w:r>
        <w:rPr>
          <w:b/>
        </w:rPr>
        <w:t>INTRODUCTION</w:t>
      </w:r>
    </w:p>
    <w:p w14:paraId="5C53A45C" w14:textId="77777777" w:rsidR="00154408" w:rsidRDefault="00154408" w:rsidP="009E25BF"/>
    <w:p w14:paraId="011A567A" w14:textId="21E46ABA" w:rsidR="00154408" w:rsidRPr="00BE2497" w:rsidRDefault="00154408" w:rsidP="00BD134E">
      <w:pPr>
        <w:spacing w:line="480" w:lineRule="auto"/>
        <w:ind w:firstLine="720"/>
        <w:rPr>
          <w:rFonts w:cs="Times New Roman"/>
          <w:color w:val="000000"/>
        </w:rPr>
      </w:pPr>
      <w:r w:rsidRPr="006E4C71">
        <w:rPr>
          <w:rFonts w:cs="Times New Roman"/>
        </w:rPr>
        <w:t>As</w:t>
      </w:r>
      <w:r w:rsidR="00343728" w:rsidRPr="006E4C71">
        <w:rPr>
          <w:rFonts w:cs="Times New Roman"/>
        </w:rPr>
        <w:t xml:space="preserve"> the effects of </w:t>
      </w:r>
      <w:r w:rsidR="00BE2497" w:rsidRPr="006E4C71">
        <w:rPr>
          <w:rFonts w:cs="Times New Roman"/>
        </w:rPr>
        <w:t>global climate change are becoming more widely felt and recognized,</w:t>
      </w:r>
      <w:r w:rsidRPr="006E4C71">
        <w:rPr>
          <w:rFonts w:cs="Times New Roman"/>
        </w:rPr>
        <w:t xml:space="preserve"> environmental consideration</w:t>
      </w:r>
      <w:r w:rsidR="00343728" w:rsidRPr="006E4C71">
        <w:rPr>
          <w:rFonts w:cs="Times New Roman"/>
        </w:rPr>
        <w:t>s</w:t>
      </w:r>
      <w:r w:rsidRPr="006E4C71">
        <w:rPr>
          <w:rFonts w:cs="Times New Roman"/>
        </w:rPr>
        <w:t xml:space="preserve"> </w:t>
      </w:r>
      <w:r w:rsidR="00343728" w:rsidRPr="006E4C71">
        <w:rPr>
          <w:rFonts w:cs="Times New Roman"/>
        </w:rPr>
        <w:t>have become</w:t>
      </w:r>
      <w:r w:rsidRPr="006E4C71">
        <w:rPr>
          <w:rFonts w:cs="Times New Roman"/>
        </w:rPr>
        <w:t xml:space="preserve"> </w:t>
      </w:r>
      <w:r w:rsidR="00343728" w:rsidRPr="006E4C71">
        <w:rPr>
          <w:rFonts w:cs="Times New Roman"/>
        </w:rPr>
        <w:t>a major</w:t>
      </w:r>
      <w:r w:rsidRPr="006E4C71">
        <w:rPr>
          <w:rFonts w:cs="Times New Roman"/>
        </w:rPr>
        <w:t xml:space="preserve"> tenet of </w:t>
      </w:r>
      <w:r w:rsidR="00BE2497" w:rsidRPr="006E4C71">
        <w:rPr>
          <w:rFonts w:cs="Times New Roman"/>
        </w:rPr>
        <w:t xml:space="preserve">today’s </w:t>
      </w:r>
      <w:r w:rsidRPr="006E4C71">
        <w:rPr>
          <w:rFonts w:cs="Times New Roman"/>
        </w:rPr>
        <w:t>popular culture</w:t>
      </w:r>
      <w:r w:rsidR="00BE2497" w:rsidRPr="006E4C71">
        <w:rPr>
          <w:rFonts w:cs="Times New Roman"/>
        </w:rPr>
        <w:t xml:space="preserve"> since the “green revolution” of the late 20</w:t>
      </w:r>
      <w:r w:rsidR="00BE2497" w:rsidRPr="006E4C71">
        <w:rPr>
          <w:rFonts w:cs="Times New Roman"/>
          <w:vertAlign w:val="superscript"/>
        </w:rPr>
        <w:t>th</w:t>
      </w:r>
      <w:r w:rsidR="00BE2497" w:rsidRPr="006E4C71">
        <w:rPr>
          <w:rFonts w:cs="Times New Roman"/>
        </w:rPr>
        <w:t xml:space="preserve"> century. C</w:t>
      </w:r>
      <w:r w:rsidRPr="006E4C71">
        <w:rPr>
          <w:rFonts w:cs="Times New Roman"/>
        </w:rPr>
        <w:t>ompanies</w:t>
      </w:r>
      <w:r w:rsidRPr="00031DAD">
        <w:rPr>
          <w:rFonts w:cs="Times New Roman"/>
          <w:color w:val="000000"/>
        </w:rPr>
        <w:t xml:space="preserve"> have begun to recognize an economic opportunity in appealing to </w:t>
      </w:r>
      <w:r w:rsidR="00BE2497">
        <w:rPr>
          <w:rFonts w:cs="Times New Roman"/>
          <w:color w:val="000000"/>
        </w:rPr>
        <w:t>a growing trend of political and social consumerism that has created a</w:t>
      </w:r>
      <w:r w:rsidRPr="00031DAD">
        <w:rPr>
          <w:rFonts w:cs="Times New Roman"/>
          <w:color w:val="000000"/>
        </w:rPr>
        <w:t xml:space="preserve"> new consumer segment </w:t>
      </w:r>
      <w:r w:rsidR="00BE2497">
        <w:rPr>
          <w:rFonts w:cs="Times New Roman"/>
          <w:color w:val="000000"/>
        </w:rPr>
        <w:t>uniquely focused on their environmental impact</w:t>
      </w:r>
      <w:r w:rsidRPr="00031DAD">
        <w:rPr>
          <w:rFonts w:cs="Times New Roman"/>
          <w:color w:val="000000"/>
        </w:rPr>
        <w:t xml:space="preserve">. </w:t>
      </w:r>
      <w:r w:rsidR="005C6A08" w:rsidRPr="005C6A08">
        <w:rPr>
          <w:rFonts w:cs="Times New Roman"/>
        </w:rPr>
        <w:t>To target this growing consumer group</w:t>
      </w:r>
      <w:r w:rsidRPr="00031DAD">
        <w:rPr>
          <w:rFonts w:cs="Times New Roman"/>
          <w:color w:val="000000"/>
        </w:rPr>
        <w:t xml:space="preserve">, corporations </w:t>
      </w:r>
      <w:r w:rsidR="00BE2497">
        <w:rPr>
          <w:rFonts w:cs="Times New Roman"/>
          <w:color w:val="000000"/>
        </w:rPr>
        <w:t>have begun incorporating</w:t>
      </w:r>
      <w:r w:rsidRPr="00031DAD">
        <w:rPr>
          <w:rFonts w:cs="Times New Roman"/>
          <w:color w:val="000000"/>
        </w:rPr>
        <w:t xml:space="preserve"> </w:t>
      </w:r>
      <w:r w:rsidR="00BE2497">
        <w:rPr>
          <w:rFonts w:cs="Times New Roman"/>
          <w:color w:val="000000"/>
        </w:rPr>
        <w:t xml:space="preserve">“eco-labeling” </w:t>
      </w:r>
      <w:r w:rsidR="00BD134E">
        <w:rPr>
          <w:rFonts w:cs="Times New Roman"/>
          <w:color w:val="000000"/>
        </w:rPr>
        <w:t>– displaying</w:t>
      </w:r>
      <w:r w:rsidRPr="00031DAD">
        <w:rPr>
          <w:rFonts w:cs="Times New Roman"/>
          <w:color w:val="000000"/>
        </w:rPr>
        <w:t xml:space="preserve"> environmental certifications</w:t>
      </w:r>
      <w:r w:rsidR="00BD134E">
        <w:rPr>
          <w:rFonts w:cs="Times New Roman"/>
          <w:color w:val="000000"/>
        </w:rPr>
        <w:t xml:space="preserve"> and environment-oriented messaging –</w:t>
      </w:r>
      <w:r w:rsidRPr="00031DAD">
        <w:rPr>
          <w:rFonts w:cs="Times New Roman"/>
          <w:color w:val="000000"/>
        </w:rPr>
        <w:t xml:space="preserve"> </w:t>
      </w:r>
      <w:r w:rsidR="003B1616">
        <w:rPr>
          <w:rFonts w:cs="Times New Roman"/>
          <w:color w:val="000000"/>
        </w:rPr>
        <w:t>into their marketing schemes and packaging designs as a means to reach a larger and more diverse consumer base</w:t>
      </w:r>
      <w:r w:rsidRPr="00031DAD">
        <w:rPr>
          <w:rFonts w:cs="Times New Roman"/>
          <w:color w:val="000000"/>
        </w:rPr>
        <w:t>.</w:t>
      </w:r>
    </w:p>
    <w:p w14:paraId="6A7449AE" w14:textId="78D88AEB" w:rsidR="00154408" w:rsidRPr="00031DAD" w:rsidRDefault="00705B49" w:rsidP="00705B49">
      <w:pPr>
        <w:spacing w:line="480" w:lineRule="auto"/>
        <w:ind w:firstLine="720"/>
        <w:rPr>
          <w:rFonts w:ascii="Times" w:hAnsi="Times" w:cs="Times New Roman"/>
          <w:sz w:val="20"/>
          <w:szCs w:val="20"/>
        </w:rPr>
      </w:pPr>
      <w:r>
        <w:rPr>
          <w:rFonts w:cs="Times New Roman"/>
          <w:color w:val="000000"/>
        </w:rPr>
        <w:t>Environmental marketing is used as a differentiation strategy to distinguish products that are more environmentally friendly from their competitors in the marketplace. Such schemes have the potential to both provide a competitive advantage for companies and</w:t>
      </w:r>
      <w:r w:rsidR="005C6A08">
        <w:rPr>
          <w:rFonts w:cs="Times New Roman"/>
          <w:color w:val="000000"/>
        </w:rPr>
        <w:t xml:space="preserve"> to</w:t>
      </w:r>
      <w:r>
        <w:rPr>
          <w:rFonts w:cs="Times New Roman"/>
          <w:color w:val="000000"/>
        </w:rPr>
        <w:t xml:space="preserve"> </w:t>
      </w:r>
      <w:r w:rsidR="00154408" w:rsidRPr="00031DAD">
        <w:rPr>
          <w:rFonts w:cs="Times New Roman"/>
          <w:color w:val="000000"/>
        </w:rPr>
        <w:t xml:space="preserve">inform </w:t>
      </w:r>
      <w:r w:rsidR="005C6A08">
        <w:rPr>
          <w:rFonts w:cs="Times New Roman"/>
        </w:rPr>
        <w:t>the public</w:t>
      </w:r>
      <w:r w:rsidR="00154408" w:rsidRPr="00031DAD">
        <w:rPr>
          <w:rFonts w:cs="Times New Roman"/>
          <w:color w:val="000000"/>
        </w:rPr>
        <w:t xml:space="preserve"> about </w:t>
      </w:r>
      <w:r>
        <w:rPr>
          <w:rFonts w:cs="Times New Roman"/>
          <w:color w:val="000000"/>
        </w:rPr>
        <w:t>the implications of their consumptive behaviors</w:t>
      </w:r>
      <w:r w:rsidR="00154408" w:rsidRPr="00031DAD">
        <w:rPr>
          <w:rFonts w:cs="Times New Roman"/>
          <w:color w:val="000000"/>
        </w:rPr>
        <w:t xml:space="preserve">, leading individuals to </w:t>
      </w:r>
      <w:r w:rsidR="007B7CD6">
        <w:rPr>
          <w:rFonts w:cs="Times New Roman"/>
          <w:color w:val="000000"/>
        </w:rPr>
        <w:t>align</w:t>
      </w:r>
      <w:r w:rsidR="00154408" w:rsidRPr="00031DAD">
        <w:rPr>
          <w:rFonts w:cs="Times New Roman"/>
          <w:color w:val="000000"/>
        </w:rPr>
        <w:t xml:space="preserve"> their purchasing behavior </w:t>
      </w:r>
      <w:r w:rsidR="007B7CD6">
        <w:rPr>
          <w:rFonts w:cs="Times New Roman"/>
          <w:color w:val="000000"/>
        </w:rPr>
        <w:t xml:space="preserve">with prosocial norms </w:t>
      </w:r>
      <w:r w:rsidR="00154408" w:rsidRPr="005C6A08">
        <w:rPr>
          <w:rFonts w:cs="Times New Roman"/>
        </w:rPr>
        <w:t xml:space="preserve">in order to lessen the environmental impacts of </w:t>
      </w:r>
      <w:r w:rsidR="005C6A08" w:rsidRPr="005C6A08">
        <w:rPr>
          <w:rFonts w:cs="Times New Roman"/>
        </w:rPr>
        <w:t>individual</w:t>
      </w:r>
      <w:r w:rsidR="00154408" w:rsidRPr="005C6A08">
        <w:rPr>
          <w:rFonts w:cs="Times New Roman"/>
        </w:rPr>
        <w:t xml:space="preserve"> consumer decisions.</w:t>
      </w:r>
      <w:r w:rsidR="00154408" w:rsidRPr="00031DAD">
        <w:rPr>
          <w:rFonts w:cs="Times New Roman"/>
          <w:color w:val="000000"/>
        </w:rPr>
        <w:t xml:space="preserve"> However, these marketing schemes are facing increasing scrutiny due to their lack of transparency and </w:t>
      </w:r>
      <w:r w:rsidR="009F61DE">
        <w:rPr>
          <w:rFonts w:cs="Times New Roman"/>
          <w:color w:val="000000"/>
        </w:rPr>
        <w:t>common</w:t>
      </w:r>
      <w:r w:rsidR="00154408" w:rsidRPr="00031DAD">
        <w:rPr>
          <w:rFonts w:cs="Times New Roman"/>
          <w:color w:val="000000"/>
        </w:rPr>
        <w:t xml:space="preserve"> misrepresentation of environmental commitment, </w:t>
      </w:r>
      <w:r w:rsidR="009F61DE">
        <w:rPr>
          <w:rFonts w:cs="Times New Roman"/>
          <w:color w:val="000000"/>
        </w:rPr>
        <w:t>creating confusion among consumers</w:t>
      </w:r>
      <w:r w:rsidR="00154408" w:rsidRPr="00031DAD">
        <w:rPr>
          <w:rFonts w:cs="Times New Roman"/>
          <w:color w:val="000000"/>
        </w:rPr>
        <w:t xml:space="preserve"> and</w:t>
      </w:r>
      <w:r w:rsidR="009F61DE">
        <w:rPr>
          <w:rFonts w:cs="Times New Roman"/>
          <w:color w:val="000000"/>
        </w:rPr>
        <w:t xml:space="preserve"> provoking widespread</w:t>
      </w:r>
      <w:r w:rsidR="00154408" w:rsidRPr="00031DAD">
        <w:rPr>
          <w:rFonts w:cs="Times New Roman"/>
          <w:color w:val="000000"/>
        </w:rPr>
        <w:t xml:space="preserve"> mistrust </w:t>
      </w:r>
      <w:r w:rsidR="009F61DE">
        <w:rPr>
          <w:rFonts w:cs="Times New Roman"/>
          <w:color w:val="000000"/>
        </w:rPr>
        <w:t>surrounding</w:t>
      </w:r>
      <w:r w:rsidR="00154408" w:rsidRPr="00031DAD">
        <w:rPr>
          <w:rFonts w:cs="Times New Roman"/>
          <w:color w:val="000000"/>
        </w:rPr>
        <w:t xml:space="preserve"> the validity of green advertising claims. </w:t>
      </w:r>
    </w:p>
    <w:p w14:paraId="0A3B7D5E" w14:textId="77EE0B11" w:rsidR="00154408" w:rsidRPr="0005327F" w:rsidRDefault="005235A5" w:rsidP="00154408">
      <w:pPr>
        <w:spacing w:line="480" w:lineRule="auto"/>
        <w:ind w:firstLine="720"/>
        <w:rPr>
          <w:rFonts w:ascii="Times" w:hAnsi="Times" w:cs="Times New Roman"/>
          <w:sz w:val="20"/>
          <w:szCs w:val="20"/>
        </w:rPr>
      </w:pPr>
      <w:r>
        <w:rPr>
          <w:rFonts w:cs="Times New Roman"/>
          <w:color w:val="000000"/>
        </w:rPr>
        <w:t xml:space="preserve">Green marketing strategies are commonly designed to appeal to Millennials, </w:t>
      </w:r>
      <w:r w:rsidR="005C6A08">
        <w:rPr>
          <w:rFonts w:cs="Times New Roman"/>
        </w:rPr>
        <w:t>a</w:t>
      </w:r>
      <w:r w:rsidRPr="005235A5">
        <w:rPr>
          <w:rFonts w:cs="Times New Roman"/>
          <w:color w:val="FF0000"/>
        </w:rPr>
        <w:t xml:space="preserve"> </w:t>
      </w:r>
      <w:r>
        <w:rPr>
          <w:rFonts w:cs="Times New Roman"/>
          <w:color w:val="000000"/>
        </w:rPr>
        <w:t>primary target consumer group</w:t>
      </w:r>
      <w:r w:rsidR="002B1C16">
        <w:rPr>
          <w:rFonts w:cs="Times New Roman"/>
          <w:color w:val="000000"/>
        </w:rPr>
        <w:t xml:space="preserve"> for environmentally differentiated products</w:t>
      </w:r>
      <w:r>
        <w:rPr>
          <w:rFonts w:cs="Times New Roman"/>
          <w:color w:val="000000"/>
        </w:rPr>
        <w:t xml:space="preserve">. The Millennial Generation, consisting of individuals ages 18-24, </w:t>
      </w:r>
      <w:r w:rsidR="00154408" w:rsidRPr="00031DAD">
        <w:rPr>
          <w:rFonts w:cs="Times New Roman"/>
          <w:color w:val="000000"/>
        </w:rPr>
        <w:t>has been identified as the population that cares the most about the environment</w:t>
      </w:r>
      <w:r w:rsidR="002B1C16">
        <w:rPr>
          <w:rFonts w:cs="Times New Roman"/>
          <w:color w:val="000000"/>
        </w:rPr>
        <w:t>,</w:t>
      </w:r>
      <w:r w:rsidR="00154408" w:rsidRPr="00031DAD">
        <w:rPr>
          <w:rFonts w:cs="Times New Roman"/>
          <w:color w:val="000000"/>
        </w:rPr>
        <w:t xml:space="preserve"> as a symptom of</w:t>
      </w:r>
      <w:r w:rsidR="005C6A08">
        <w:rPr>
          <w:rFonts w:cs="Times New Roman"/>
          <w:color w:val="000000"/>
        </w:rPr>
        <w:t xml:space="preserve"> societal factors including</w:t>
      </w:r>
      <w:r w:rsidR="00154408" w:rsidRPr="00031DAD">
        <w:rPr>
          <w:rFonts w:cs="Times New Roman"/>
          <w:color w:val="000000"/>
        </w:rPr>
        <w:t xml:space="preserve"> their increased levels of education</w:t>
      </w:r>
      <w:r w:rsidR="00154408" w:rsidRPr="0082453B">
        <w:rPr>
          <w:rFonts w:cs="Times New Roman"/>
        </w:rPr>
        <w:t>, technological dependency, and media exposure</w:t>
      </w:r>
      <w:r w:rsidRPr="0082453B">
        <w:rPr>
          <w:rFonts w:cs="Times New Roman"/>
        </w:rPr>
        <w:t xml:space="preserve"> relative to previous </w:t>
      </w:r>
      <w:r w:rsidR="0082453B" w:rsidRPr="0082453B">
        <w:rPr>
          <w:rFonts w:cs="Times New Roman"/>
        </w:rPr>
        <w:t>generations</w:t>
      </w:r>
      <w:r w:rsidR="00154408" w:rsidRPr="0082453B">
        <w:rPr>
          <w:rFonts w:cs="Times New Roman"/>
        </w:rPr>
        <w:t>.</w:t>
      </w:r>
      <w:r w:rsidR="00154408" w:rsidRPr="00031DAD">
        <w:rPr>
          <w:rFonts w:cs="Times New Roman"/>
          <w:color w:val="000000"/>
        </w:rPr>
        <w:t xml:space="preserve"> Studies suggest, however, that greater awareness does not necessarily lead to subseq</w:t>
      </w:r>
      <w:r>
        <w:rPr>
          <w:rFonts w:cs="Times New Roman"/>
          <w:color w:val="000000"/>
        </w:rPr>
        <w:t>uent behavioral changes. Market-</w:t>
      </w:r>
      <w:r w:rsidR="00154408" w:rsidRPr="00031DAD">
        <w:rPr>
          <w:rFonts w:cs="Times New Roman"/>
          <w:color w:val="000000"/>
        </w:rPr>
        <w:t xml:space="preserve">based inhibitors such as </w:t>
      </w:r>
      <w:r>
        <w:rPr>
          <w:rFonts w:cs="Times New Roman"/>
          <w:color w:val="000000"/>
        </w:rPr>
        <w:t xml:space="preserve">comfort, </w:t>
      </w:r>
      <w:r w:rsidR="00154408" w:rsidRPr="00031DAD">
        <w:rPr>
          <w:rFonts w:cs="Times New Roman"/>
          <w:color w:val="000000"/>
        </w:rPr>
        <w:t>conven</w:t>
      </w:r>
      <w:r>
        <w:rPr>
          <w:rFonts w:cs="Times New Roman"/>
          <w:color w:val="000000"/>
        </w:rPr>
        <w:t xml:space="preserve">ience, brand loyalty, and </w:t>
      </w:r>
      <w:r w:rsidRPr="0005327F">
        <w:rPr>
          <w:rFonts w:cs="Times New Roman"/>
        </w:rPr>
        <w:t xml:space="preserve">price may exert greater influence their choices than environmental considerations. </w:t>
      </w:r>
    </w:p>
    <w:p w14:paraId="740A9E9F" w14:textId="7951CB38" w:rsidR="00BE6693" w:rsidRPr="002B1C16" w:rsidRDefault="00BE728C" w:rsidP="002B1C16">
      <w:pPr>
        <w:spacing w:line="480" w:lineRule="auto"/>
        <w:ind w:firstLine="720"/>
        <w:rPr>
          <w:rFonts w:cs="Times New Roman"/>
          <w:color w:val="000000"/>
        </w:rPr>
      </w:pPr>
      <w:r>
        <w:rPr>
          <w:rFonts w:cs="Times New Roman"/>
        </w:rPr>
        <w:t xml:space="preserve">While </w:t>
      </w:r>
      <w:r w:rsidR="00154408" w:rsidRPr="00031DAD">
        <w:rPr>
          <w:rFonts w:cs="Times New Roman"/>
          <w:color w:val="000000"/>
        </w:rPr>
        <w:t xml:space="preserve">research on </w:t>
      </w:r>
      <w:r>
        <w:rPr>
          <w:rFonts w:cs="Times New Roman"/>
          <w:color w:val="000000"/>
        </w:rPr>
        <w:t>Millennials’</w:t>
      </w:r>
      <w:r w:rsidR="00165888">
        <w:rPr>
          <w:rFonts w:cs="Times New Roman"/>
          <w:color w:val="000000"/>
        </w:rPr>
        <w:t xml:space="preserve"> attitudes and </w:t>
      </w:r>
      <w:r>
        <w:rPr>
          <w:rFonts w:cs="Times New Roman"/>
          <w:color w:val="000000"/>
        </w:rPr>
        <w:t xml:space="preserve">environmental consciousness </w:t>
      </w:r>
      <w:r>
        <w:rPr>
          <w:rFonts w:cs="Times New Roman"/>
        </w:rPr>
        <w:t>is expanding</w:t>
      </w:r>
      <w:r w:rsidR="00154408" w:rsidRPr="00031DAD">
        <w:rPr>
          <w:rFonts w:cs="Times New Roman"/>
          <w:color w:val="000000"/>
        </w:rPr>
        <w:t xml:space="preserve">, there is little data on the degree to which these attitudes are reflected in their </w:t>
      </w:r>
      <w:r w:rsidR="00165888">
        <w:rPr>
          <w:rFonts w:cs="Times New Roman"/>
          <w:color w:val="000000"/>
        </w:rPr>
        <w:t>consumer behavior</w:t>
      </w:r>
      <w:r w:rsidR="00154408" w:rsidRPr="00031DAD">
        <w:rPr>
          <w:rFonts w:cs="Times New Roman"/>
          <w:color w:val="000000"/>
        </w:rPr>
        <w:t>. Existing literature on</w:t>
      </w:r>
      <w:r w:rsidR="00321110">
        <w:rPr>
          <w:rFonts w:cs="Times New Roman"/>
          <w:color w:val="000000"/>
        </w:rPr>
        <w:t xml:space="preserve"> the degree to which attitudes are translated into behavior is a highly debated issue.</w:t>
      </w:r>
      <w:r w:rsidR="005D0A35">
        <w:rPr>
          <w:rFonts w:cs="Times New Roman"/>
          <w:color w:val="000000"/>
        </w:rPr>
        <w:t xml:space="preserve"> Existing literature on</w:t>
      </w:r>
      <w:r w:rsidR="00154408" w:rsidRPr="00031DAD">
        <w:rPr>
          <w:rFonts w:cs="Times New Roman"/>
          <w:color w:val="000000"/>
        </w:rPr>
        <w:t xml:space="preserve"> this connection </w:t>
      </w:r>
      <w:r w:rsidR="00165888">
        <w:rPr>
          <w:rFonts w:cs="Times New Roman"/>
          <w:color w:val="000000"/>
        </w:rPr>
        <w:t xml:space="preserve">is highly </w:t>
      </w:r>
      <w:r w:rsidR="00165888" w:rsidRPr="005D0A35">
        <w:rPr>
          <w:rFonts w:cs="Times New Roman"/>
        </w:rPr>
        <w:t>polarized concerning Millennials’ true level of environmental commitment</w:t>
      </w:r>
      <w:r w:rsidR="00154408" w:rsidRPr="005D0A35">
        <w:rPr>
          <w:rFonts w:cs="Times New Roman"/>
        </w:rPr>
        <w:t xml:space="preserve">. </w:t>
      </w:r>
      <w:r w:rsidR="00920F21" w:rsidRPr="005D0A35">
        <w:rPr>
          <w:rFonts w:cs="Times New Roman"/>
        </w:rPr>
        <w:t>This study presents an analysis of the factors that influence Millennials’ prioritization of the environment within their consumer behavior, assessing whether or not environmental marketing can promote environmentally friendly consumerism within</w:t>
      </w:r>
      <w:r w:rsidR="00557FC1" w:rsidRPr="005D0A35">
        <w:rPr>
          <w:rFonts w:cs="Times New Roman"/>
        </w:rPr>
        <w:t xml:space="preserve"> this generation, and whether or not environmental differentiation is a viable strategy to achieve positive, </w:t>
      </w:r>
      <w:proofErr w:type="gramStart"/>
      <w:r w:rsidR="00557FC1" w:rsidRPr="005D0A35">
        <w:rPr>
          <w:rFonts w:cs="Times New Roman"/>
        </w:rPr>
        <w:t>environmentally-oriented</w:t>
      </w:r>
      <w:proofErr w:type="gramEnd"/>
      <w:r w:rsidR="00557FC1" w:rsidRPr="005D0A35">
        <w:rPr>
          <w:rFonts w:cs="Times New Roman"/>
        </w:rPr>
        <w:t xml:space="preserve"> behavioral changes.</w:t>
      </w:r>
    </w:p>
    <w:p w14:paraId="567425E2" w14:textId="77777777" w:rsidR="00BE6693" w:rsidRDefault="00BE6693" w:rsidP="006A686D">
      <w:pPr>
        <w:spacing w:line="480" w:lineRule="auto"/>
        <w:rPr>
          <w:rFonts w:cs="Times New Roman"/>
          <w:b/>
          <w:color w:val="000000"/>
        </w:rPr>
      </w:pPr>
    </w:p>
    <w:p w14:paraId="7DA96B53" w14:textId="67873AE6" w:rsidR="006A686D" w:rsidRDefault="006A686D" w:rsidP="006A686D">
      <w:pPr>
        <w:spacing w:line="480" w:lineRule="auto"/>
        <w:rPr>
          <w:rFonts w:cs="Times New Roman"/>
          <w:b/>
          <w:color w:val="000000"/>
        </w:rPr>
      </w:pPr>
      <w:r>
        <w:rPr>
          <w:rFonts w:cs="Times New Roman"/>
          <w:b/>
          <w:color w:val="000000"/>
        </w:rPr>
        <w:t>Green Consumerism and CSR: A New Market</w:t>
      </w:r>
    </w:p>
    <w:p w14:paraId="372984AA" w14:textId="55B12F8A" w:rsidR="00C968B2" w:rsidRDefault="00C968B2" w:rsidP="00C968B2">
      <w:pPr>
        <w:spacing w:line="480" w:lineRule="auto"/>
        <w:ind w:firstLine="720"/>
        <w:rPr>
          <w:rFonts w:cs="Times New Roman"/>
          <w:color w:val="000000"/>
        </w:rPr>
      </w:pPr>
      <w:r w:rsidRPr="00031DAD">
        <w:rPr>
          <w:rFonts w:cs="Times New Roman"/>
          <w:color w:val="000000"/>
        </w:rPr>
        <w:t>The mainstream environmental movement has embraced green consumerism as a cultivating tool for sustainable consumption. The growing allure of “green” products has allowed corporations to harness consumer-buying power through the use of marketing schemes that emphasize environmentally friendly aspects of their products. Despite popular opinion</w:t>
      </w:r>
      <w:r w:rsidR="005D0A35">
        <w:rPr>
          <w:rFonts w:cs="Times New Roman"/>
          <w:color w:val="000000"/>
        </w:rPr>
        <w:t xml:space="preserve"> that businesses’ attention is limited to </w:t>
      </w:r>
      <w:r w:rsidRPr="005D0A35">
        <w:rPr>
          <w:rFonts w:cs="Times New Roman"/>
        </w:rPr>
        <w:t xml:space="preserve">profit maximization, </w:t>
      </w:r>
      <w:r w:rsidR="005D0A35" w:rsidRPr="005D0A35">
        <w:rPr>
          <w:rFonts w:cs="Times New Roman"/>
        </w:rPr>
        <w:t xml:space="preserve">corporations </w:t>
      </w:r>
      <w:r w:rsidRPr="005D0A35">
        <w:rPr>
          <w:rFonts w:cs="Times New Roman"/>
        </w:rPr>
        <w:t>are now a driving force in the green movement. As actors with the best knowledge about markets, products, inputs, production processes, capital, supply chains, and available technologies, corporations can</w:t>
      </w:r>
      <w:r w:rsidR="005D0A35" w:rsidRPr="005D0A35">
        <w:rPr>
          <w:rFonts w:cs="Times New Roman"/>
        </w:rPr>
        <w:t>, when properly incentivized,</w:t>
      </w:r>
      <w:r w:rsidRPr="005D0A35">
        <w:rPr>
          <w:rFonts w:cs="Times New Roman"/>
        </w:rPr>
        <w:t xml:space="preserve"> </w:t>
      </w:r>
      <w:r w:rsidR="005D0A35" w:rsidRPr="005D0A35">
        <w:rPr>
          <w:rFonts w:cs="Times New Roman"/>
        </w:rPr>
        <w:t xml:space="preserve">play an integral role in motivating consumers to </w:t>
      </w:r>
      <w:r w:rsidRPr="005D0A35">
        <w:rPr>
          <w:rFonts w:cs="Times New Roman"/>
        </w:rPr>
        <w:t xml:space="preserve">achieve </w:t>
      </w:r>
      <w:r w:rsidR="005D0A35" w:rsidRPr="005D0A35">
        <w:rPr>
          <w:rFonts w:cs="Times New Roman"/>
        </w:rPr>
        <w:t xml:space="preserve">more sustainable purchasing behaviors </w:t>
      </w:r>
      <w:r w:rsidRPr="005D0A35">
        <w:rPr>
          <w:rFonts w:cs="Times New Roman"/>
        </w:rPr>
        <w:t>(Turner, 2012).</w:t>
      </w:r>
    </w:p>
    <w:p w14:paraId="4ED332B1" w14:textId="127FE769" w:rsidR="00C968B2" w:rsidRPr="00817A27" w:rsidRDefault="00C968B2" w:rsidP="00C968B2">
      <w:pPr>
        <w:spacing w:line="480" w:lineRule="auto"/>
        <w:ind w:firstLine="720"/>
        <w:rPr>
          <w:rFonts w:cs="Times New Roman"/>
        </w:rPr>
      </w:pPr>
      <w:r w:rsidRPr="00031DAD">
        <w:rPr>
          <w:rFonts w:cs="Times New Roman"/>
          <w:color w:val="000000"/>
        </w:rPr>
        <w:t>The</w:t>
      </w:r>
      <w:r>
        <w:rPr>
          <w:rFonts w:cs="Times New Roman"/>
          <w:color w:val="000000"/>
        </w:rPr>
        <w:t xml:space="preserve"> needs of business and society have become </w:t>
      </w:r>
      <w:r w:rsidRPr="00031DAD">
        <w:rPr>
          <w:rFonts w:cs="Times New Roman"/>
          <w:color w:val="000000"/>
        </w:rPr>
        <w:t>fundamentally intertwined</w:t>
      </w:r>
      <w:r w:rsidR="005D0A35">
        <w:rPr>
          <w:rFonts w:cs="Times New Roman"/>
          <w:color w:val="3366FF"/>
        </w:rPr>
        <w:t xml:space="preserve">, </w:t>
      </w:r>
      <w:r w:rsidRPr="00031DAD">
        <w:rPr>
          <w:rFonts w:cs="Times New Roman"/>
          <w:color w:val="000000"/>
        </w:rPr>
        <w:t>making Corporate Social Responsibility (CSR) an imperative component of successful business strategies</w:t>
      </w:r>
      <w:r>
        <w:rPr>
          <w:rFonts w:cs="Times New Roman"/>
          <w:color w:val="000000"/>
        </w:rPr>
        <w:t xml:space="preserve"> in today’s market</w:t>
      </w:r>
      <w:r w:rsidRPr="00031DAD">
        <w:rPr>
          <w:rFonts w:cs="Times New Roman"/>
          <w:color w:val="000000"/>
        </w:rPr>
        <w:t xml:space="preserve">. </w:t>
      </w:r>
      <w:r w:rsidR="005D0A35">
        <w:rPr>
          <w:rFonts w:cs="Times New Roman"/>
          <w:color w:val="000000"/>
        </w:rPr>
        <w:t>Investing in green product development</w:t>
      </w:r>
      <w:r w:rsidRPr="00031DAD">
        <w:rPr>
          <w:rFonts w:cs="Times New Roman"/>
          <w:color w:val="000000"/>
        </w:rPr>
        <w:t xml:space="preserve"> can improve companies’ reputations and increase the value of their brands. </w:t>
      </w:r>
      <w:r>
        <w:rPr>
          <w:rFonts w:cs="Times New Roman"/>
          <w:color w:val="000000"/>
        </w:rPr>
        <w:t>A 2007 global survey found</w:t>
      </w:r>
      <w:r w:rsidRPr="00031DAD">
        <w:rPr>
          <w:rFonts w:cs="Times New Roman"/>
          <w:color w:val="000000"/>
        </w:rPr>
        <w:t xml:space="preserve"> CSR </w:t>
      </w:r>
      <w:r>
        <w:rPr>
          <w:rFonts w:cs="Times New Roman"/>
          <w:color w:val="000000"/>
        </w:rPr>
        <w:t xml:space="preserve">to be </w:t>
      </w:r>
      <w:r w:rsidR="005D0A35">
        <w:rPr>
          <w:rFonts w:cs="Times New Roman"/>
          <w:color w:val="000000"/>
        </w:rPr>
        <w:t xml:space="preserve">a leading indication that corporations can achieve environmental goals </w:t>
      </w:r>
      <w:r w:rsidRPr="00031DAD">
        <w:rPr>
          <w:rFonts w:cs="Times New Roman"/>
          <w:color w:val="000000"/>
        </w:rPr>
        <w:t>(</w:t>
      </w:r>
      <w:proofErr w:type="spellStart"/>
      <w:r w:rsidRPr="00031DAD">
        <w:rPr>
          <w:rFonts w:cs="Times New Roman"/>
          <w:color w:val="000000"/>
        </w:rPr>
        <w:t>Bonini</w:t>
      </w:r>
      <w:proofErr w:type="spellEnd"/>
      <w:r w:rsidRPr="00031DAD">
        <w:rPr>
          <w:rFonts w:cs="Times New Roman"/>
          <w:color w:val="000000"/>
        </w:rPr>
        <w:t xml:space="preserve">, 2008). </w:t>
      </w:r>
      <w:r>
        <w:rPr>
          <w:rFonts w:cs="Times New Roman"/>
          <w:color w:val="000000"/>
        </w:rPr>
        <w:t xml:space="preserve">Whereas </w:t>
      </w:r>
      <w:r>
        <w:rPr>
          <w:rFonts w:cs="Times New Roman"/>
        </w:rPr>
        <w:t xml:space="preserve">unilateral focus </w:t>
      </w:r>
      <w:r w:rsidRPr="00031DAD">
        <w:rPr>
          <w:rFonts w:cs="Times New Roman"/>
          <w:color w:val="000000"/>
        </w:rPr>
        <w:t xml:space="preserve">on </w:t>
      </w:r>
      <w:r>
        <w:rPr>
          <w:rFonts w:cs="Times New Roman"/>
          <w:color w:val="000000"/>
        </w:rPr>
        <w:t>profit maximization often</w:t>
      </w:r>
      <w:r w:rsidRPr="00031DAD">
        <w:rPr>
          <w:rFonts w:cs="Times New Roman"/>
          <w:color w:val="000000"/>
        </w:rPr>
        <w:t xml:space="preserve"> re</w:t>
      </w:r>
      <w:r>
        <w:rPr>
          <w:rFonts w:cs="Times New Roman"/>
          <w:color w:val="000000"/>
        </w:rPr>
        <w:t>quires business decisions that</w:t>
      </w:r>
      <w:r w:rsidRPr="00031DAD">
        <w:rPr>
          <w:rFonts w:cs="Times New Roman"/>
          <w:color w:val="000000"/>
        </w:rPr>
        <w:t xml:space="preserve"> </w:t>
      </w:r>
      <w:r>
        <w:rPr>
          <w:rFonts w:cs="Times New Roman"/>
          <w:color w:val="000000"/>
        </w:rPr>
        <w:t>compromise</w:t>
      </w:r>
      <w:r w:rsidRPr="00031DAD">
        <w:rPr>
          <w:rFonts w:cs="Times New Roman"/>
          <w:color w:val="000000"/>
        </w:rPr>
        <w:t xml:space="preserve"> critical </w:t>
      </w:r>
      <w:r w:rsidRPr="00817A27">
        <w:rPr>
          <w:rFonts w:cs="Times New Roman"/>
        </w:rPr>
        <w:t>social values, CSR considers the health of the environment and community it operates in to be fundamental to the health of the business (Porter, 2011). This reorientation of business strateg</w:t>
      </w:r>
      <w:r w:rsidR="00817A27" w:rsidRPr="00817A27">
        <w:rPr>
          <w:rFonts w:cs="Times New Roman"/>
        </w:rPr>
        <w:t>ies</w:t>
      </w:r>
      <w:r w:rsidRPr="00817A27">
        <w:rPr>
          <w:rFonts w:cs="Times New Roman"/>
        </w:rPr>
        <w:t xml:space="preserve"> has allowed corporations to shape market opportunities by creating a new competitive advantage through environmental differentiation (</w:t>
      </w:r>
      <w:proofErr w:type="spellStart"/>
      <w:r w:rsidRPr="00817A27">
        <w:rPr>
          <w:rFonts w:cs="Times New Roman"/>
        </w:rPr>
        <w:t>Bonini</w:t>
      </w:r>
      <w:proofErr w:type="spellEnd"/>
      <w:r w:rsidRPr="00817A27">
        <w:rPr>
          <w:rFonts w:cs="Times New Roman"/>
        </w:rPr>
        <w:t xml:space="preserve">, 2008). </w:t>
      </w:r>
    </w:p>
    <w:p w14:paraId="174C8E57" w14:textId="6742BE46" w:rsidR="00C968B2" w:rsidRDefault="00C968B2" w:rsidP="00C968B2">
      <w:pPr>
        <w:spacing w:line="480" w:lineRule="auto"/>
        <w:ind w:firstLine="720"/>
        <w:rPr>
          <w:rFonts w:cs="Times New Roman"/>
          <w:color w:val="FF0000"/>
        </w:rPr>
      </w:pPr>
      <w:r w:rsidRPr="00817A27">
        <w:rPr>
          <w:rFonts w:cs="Times New Roman"/>
        </w:rPr>
        <w:t>Although businesses play a pivotal role in launching sustainable consumption into popular culture, many studies claim that there is nothing promising about green consumerism. Despite the expansion of green marketing techniques</w:t>
      </w:r>
      <w:r w:rsidR="00817A27" w:rsidRPr="00817A27">
        <w:rPr>
          <w:rFonts w:cs="Times New Roman"/>
        </w:rPr>
        <w:t xml:space="preserve"> to</w:t>
      </w:r>
      <w:r w:rsidR="00817A27">
        <w:rPr>
          <w:rFonts w:cs="Times New Roman"/>
          <w:color w:val="000000"/>
        </w:rPr>
        <w:t xml:space="preserve"> grasp public attention,</w:t>
      </w:r>
      <w:r>
        <w:rPr>
          <w:rFonts w:cs="Times New Roman"/>
          <w:color w:val="000000"/>
        </w:rPr>
        <w:t xml:space="preserve"> consumers are not responding by making parallel behavioral changes</w:t>
      </w:r>
      <w:r w:rsidRPr="006E4C71">
        <w:rPr>
          <w:rFonts w:cs="Times New Roman"/>
        </w:rPr>
        <w:t>. Market based inhibitors such as convenience, brand loyalty, and price, which Millennials fail to relinquish, prevent behavioral adaptation.</w:t>
      </w:r>
      <w:r>
        <w:rPr>
          <w:rFonts w:cs="Times New Roman"/>
          <w:color w:val="FF0000"/>
        </w:rPr>
        <w:t xml:space="preserve"> </w:t>
      </w:r>
    </w:p>
    <w:p w14:paraId="6EFD5181" w14:textId="1AB77400" w:rsidR="00C968B2" w:rsidRDefault="00C968B2" w:rsidP="00C968B2">
      <w:pPr>
        <w:spacing w:line="480" w:lineRule="auto"/>
        <w:ind w:firstLine="720"/>
        <w:rPr>
          <w:rFonts w:cs="Times New Roman"/>
        </w:rPr>
      </w:pPr>
      <w:r>
        <w:rPr>
          <w:rFonts w:cs="Times New Roman"/>
        </w:rPr>
        <w:t>Several important barriers to this transition include consumers’ general lack of awareness of environmental issues, negative perceptions and distrust surround environmental marketing mechanisms, high costs for environmentally friendly products relative to alternatives, and low availability of green consumer goods. In the past, companies have used</w:t>
      </w:r>
      <w:r w:rsidR="00817A27">
        <w:rPr>
          <w:rFonts w:cs="Times New Roman"/>
        </w:rPr>
        <w:t xml:space="preserve"> green</w:t>
      </w:r>
      <w:r>
        <w:rPr>
          <w:rFonts w:cs="Times New Roman"/>
        </w:rPr>
        <w:t xml:space="preserve"> marketing as a means to capitalize upon consumers’ lack of awareness of </w:t>
      </w:r>
      <w:r w:rsidRPr="00817A27">
        <w:rPr>
          <w:rFonts w:cs="Times New Roman"/>
        </w:rPr>
        <w:t>existing environmental regulations</w:t>
      </w:r>
      <w:r>
        <w:rPr>
          <w:rFonts w:cs="Times New Roman"/>
        </w:rPr>
        <w:t xml:space="preserve">. Companies would advertise environmental product features that were already mandated by law in an attempt to validate claims of environmental and social consciousness. In other instances, marketing would use strategic words and images to imply that a product was eco-friendly, when in fact these labels were entirely meaningless. “Green-washing” as a marketing </w:t>
      </w:r>
      <w:proofErr w:type="gramStart"/>
      <w:r>
        <w:rPr>
          <w:rFonts w:cs="Times New Roman"/>
        </w:rPr>
        <w:t>tool</w:t>
      </w:r>
      <w:proofErr w:type="gramEnd"/>
      <w:r>
        <w:rPr>
          <w:rFonts w:cs="Times New Roman"/>
        </w:rPr>
        <w:t xml:space="preserve"> allows companies to reap the benefits of environmental differentiation without making any operational changes, which not only misleads consumers but also serves to blur the line between these and </w:t>
      </w:r>
      <w:r w:rsidRPr="00A21A70">
        <w:rPr>
          <w:rFonts w:cs="Times New Roman"/>
        </w:rPr>
        <w:t xml:space="preserve">legitimate </w:t>
      </w:r>
      <w:r w:rsidR="006E58D7" w:rsidRPr="00A21A70">
        <w:rPr>
          <w:rFonts w:cs="Times New Roman"/>
        </w:rPr>
        <w:t>labels</w:t>
      </w:r>
      <w:r w:rsidRPr="00A21A70">
        <w:rPr>
          <w:rFonts w:cs="Times New Roman"/>
        </w:rPr>
        <w:t>. As a</w:t>
      </w:r>
      <w:r>
        <w:rPr>
          <w:rFonts w:cs="Times New Roman"/>
        </w:rPr>
        <w:t xml:space="preserve"> result of these inconsistencies, verified certifications and standards lose their meaning for consumers, creating the general distrust surrounding environmental marketing and labeling. </w:t>
      </w:r>
    </w:p>
    <w:p w14:paraId="072CC105" w14:textId="30AF27CD" w:rsidR="00C968B2" w:rsidRDefault="00C968B2" w:rsidP="00C968B2">
      <w:pPr>
        <w:pStyle w:val="Body"/>
        <w:spacing w:line="480" w:lineRule="auto"/>
        <w:ind w:firstLine="720"/>
        <w:rPr>
          <w:rFonts w:ascii="Times New Roman" w:eastAsia="Times New Roman" w:hAnsi="Times New Roman" w:cs="Times New Roman"/>
          <w:sz w:val="24"/>
          <w:szCs w:val="24"/>
          <w:u w:color="000000"/>
        </w:rPr>
      </w:pPr>
      <w:r>
        <w:rPr>
          <w:rFonts w:ascii="Times New Roman"/>
          <w:sz w:val="24"/>
          <w:szCs w:val="24"/>
          <w:u w:color="000000"/>
        </w:rPr>
        <w:t xml:space="preserve">In addition, environmentally friendly products suffer from </w:t>
      </w:r>
      <w:r w:rsidR="006E58D7">
        <w:rPr>
          <w:rFonts w:ascii="Times New Roman"/>
          <w:sz w:val="24"/>
          <w:szCs w:val="24"/>
          <w:u w:color="000000"/>
        </w:rPr>
        <w:t>ineffective labeling schemes, creating a negative image surrounding the eco-market</w:t>
      </w:r>
      <w:r>
        <w:rPr>
          <w:rFonts w:ascii="Times New Roman"/>
          <w:sz w:val="24"/>
          <w:szCs w:val="24"/>
          <w:u w:color="000000"/>
        </w:rPr>
        <w:t>. Green products have inadvertently acquired a reputation as being of inferior quality to their generic alternatives. According a 2007 study of more than 2,000 Americans, 61% believed that green goods performed worse than conventional items serving the same purpose (</w:t>
      </w:r>
      <w:proofErr w:type="spellStart"/>
      <w:r>
        <w:rPr>
          <w:rFonts w:ascii="Times New Roman"/>
          <w:sz w:val="24"/>
          <w:szCs w:val="24"/>
          <w:u w:color="000000"/>
        </w:rPr>
        <w:t>GfK</w:t>
      </w:r>
      <w:proofErr w:type="spellEnd"/>
      <w:r>
        <w:rPr>
          <w:rFonts w:ascii="Times New Roman"/>
          <w:sz w:val="24"/>
          <w:szCs w:val="24"/>
          <w:u w:color="000000"/>
        </w:rPr>
        <w:t xml:space="preserve">, 2007). These barriers have reduced consumer demand for green products in the marketplace, </w:t>
      </w:r>
      <w:r w:rsidRPr="00A21A70">
        <w:rPr>
          <w:rFonts w:ascii="Times New Roman"/>
          <w:color w:val="auto"/>
          <w:sz w:val="24"/>
          <w:szCs w:val="24"/>
          <w:u w:color="000000"/>
        </w:rPr>
        <w:t xml:space="preserve">preventing market </w:t>
      </w:r>
      <w:r w:rsidR="00A21A70" w:rsidRPr="00A21A70">
        <w:rPr>
          <w:rFonts w:ascii="Times New Roman"/>
          <w:color w:val="auto"/>
          <w:sz w:val="24"/>
          <w:szCs w:val="24"/>
          <w:u w:color="000000"/>
        </w:rPr>
        <w:t>mechanisms</w:t>
      </w:r>
      <w:r>
        <w:rPr>
          <w:rFonts w:ascii="Times New Roman"/>
          <w:color w:val="FF0000"/>
          <w:sz w:val="24"/>
          <w:szCs w:val="24"/>
          <w:u w:color="000000"/>
        </w:rPr>
        <w:t xml:space="preserve"> </w:t>
      </w:r>
      <w:r>
        <w:rPr>
          <w:rFonts w:ascii="Times New Roman"/>
          <w:color w:val="auto"/>
          <w:sz w:val="24"/>
          <w:szCs w:val="24"/>
          <w:u w:color="000000"/>
        </w:rPr>
        <w:t>to bring down costs and incentivize further production and innovation</w:t>
      </w:r>
      <w:r>
        <w:rPr>
          <w:rFonts w:ascii="Times New Roman"/>
          <w:sz w:val="24"/>
          <w:szCs w:val="24"/>
          <w:u w:color="000000"/>
        </w:rPr>
        <w:t xml:space="preserve">. </w:t>
      </w:r>
    </w:p>
    <w:p w14:paraId="26766FFB" w14:textId="71C754FB" w:rsidR="00BE6693" w:rsidRDefault="00C968B2" w:rsidP="00C968B2">
      <w:pPr>
        <w:spacing w:line="480" w:lineRule="auto"/>
        <w:ind w:firstLine="720"/>
        <w:rPr>
          <w:rFonts w:cs="Times New Roman"/>
        </w:rPr>
      </w:pPr>
      <w:r>
        <w:rPr>
          <w:rFonts w:cs="Times New Roman"/>
        </w:rPr>
        <w:t xml:space="preserve">Despite these barriers to the successful use of environmental marketing and product differentiation, studies have found that today’s social climate in itself provides incentives for consumers to buy green. The proliferation of environmental awareness has established environmental consciousness as a social norm, encouraging consumptive behavior changes to achieve social validation. A 2007 study found that the biggest reason consumers bought environmentally friendly was to appear as responsible citizens in the eyes of their peers, while actual concern for the environment was the least motivational (Maynard, 2007). </w:t>
      </w:r>
    </w:p>
    <w:p w14:paraId="07141E9E" w14:textId="77777777" w:rsidR="00C968B2" w:rsidRDefault="00C968B2" w:rsidP="00C968B2">
      <w:pPr>
        <w:spacing w:line="480" w:lineRule="auto"/>
        <w:ind w:firstLine="720"/>
        <w:rPr>
          <w:rFonts w:cs="Times New Roman"/>
        </w:rPr>
      </w:pPr>
    </w:p>
    <w:p w14:paraId="2020D8F5" w14:textId="77777777" w:rsidR="007F0064" w:rsidRDefault="007F0064" w:rsidP="00C968B2">
      <w:pPr>
        <w:spacing w:line="480" w:lineRule="auto"/>
        <w:ind w:firstLine="720"/>
        <w:rPr>
          <w:rFonts w:cs="Times New Roman"/>
        </w:rPr>
      </w:pPr>
    </w:p>
    <w:p w14:paraId="2730058D" w14:textId="77777777" w:rsidR="007F0064" w:rsidRPr="00C968B2" w:rsidRDefault="007F0064" w:rsidP="00C968B2">
      <w:pPr>
        <w:spacing w:line="480" w:lineRule="auto"/>
        <w:ind w:firstLine="720"/>
        <w:rPr>
          <w:rFonts w:cs="Times New Roman"/>
        </w:rPr>
      </w:pPr>
    </w:p>
    <w:p w14:paraId="4EA0A582" w14:textId="043A9CE6" w:rsidR="006A686D" w:rsidRDefault="00375866" w:rsidP="006A686D">
      <w:pPr>
        <w:spacing w:line="480" w:lineRule="auto"/>
        <w:rPr>
          <w:rFonts w:cs="Times New Roman"/>
          <w:color w:val="000000"/>
        </w:rPr>
      </w:pPr>
      <w:r>
        <w:rPr>
          <w:rFonts w:cs="Times New Roman"/>
          <w:b/>
          <w:color w:val="000000"/>
        </w:rPr>
        <w:t>Environmental Marketing Strategies: The Applicability of Green Labeling</w:t>
      </w:r>
    </w:p>
    <w:p w14:paraId="564AD8E3" w14:textId="77777777" w:rsidR="00D72B8F" w:rsidRDefault="00D72B8F" w:rsidP="00D72B8F">
      <w:pPr>
        <w:spacing w:line="480" w:lineRule="auto"/>
        <w:ind w:firstLine="720"/>
        <w:rPr>
          <w:rFonts w:cs="Times New Roman"/>
          <w:color w:val="000000"/>
        </w:rPr>
      </w:pPr>
      <w:r w:rsidRPr="00031DAD">
        <w:rPr>
          <w:rFonts w:cs="Times New Roman"/>
          <w:color w:val="000000"/>
        </w:rPr>
        <w:t>Increasing levels of “eco-consciousness” in individuals has resulted in the formation of new consumer categories, namely the “socially conscious” and the “green” consumer</w:t>
      </w:r>
      <w:r>
        <w:rPr>
          <w:rFonts w:cs="Times New Roman"/>
          <w:color w:val="000000"/>
        </w:rPr>
        <w:t xml:space="preserve"> (Fulmer, 2001)</w:t>
      </w:r>
      <w:r w:rsidRPr="00031DAD">
        <w:rPr>
          <w:rFonts w:cs="Times New Roman"/>
          <w:color w:val="000000"/>
        </w:rPr>
        <w:t>. The green consumer</w:t>
      </w:r>
      <w:r>
        <w:rPr>
          <w:rFonts w:cs="Times New Roman"/>
          <w:color w:val="000000"/>
        </w:rPr>
        <w:t xml:space="preserve"> </w:t>
      </w:r>
      <w:r w:rsidRPr="00031DAD">
        <w:rPr>
          <w:rFonts w:cs="Times New Roman"/>
          <w:color w:val="000000"/>
        </w:rPr>
        <w:t>is defined as “an individual who consumes products that are benign towards the environment”</w:t>
      </w:r>
      <w:r>
        <w:rPr>
          <w:rFonts w:cs="Times New Roman"/>
          <w:color w:val="000000"/>
        </w:rPr>
        <w:t xml:space="preserve"> in a </w:t>
      </w:r>
      <w:proofErr w:type="gramStart"/>
      <w:r>
        <w:rPr>
          <w:rFonts w:cs="Times New Roman"/>
          <w:color w:val="000000"/>
        </w:rPr>
        <w:t>socially-conscious</w:t>
      </w:r>
      <w:proofErr w:type="gramEnd"/>
      <w:r>
        <w:rPr>
          <w:rFonts w:cs="Times New Roman"/>
          <w:color w:val="000000"/>
        </w:rPr>
        <w:t xml:space="preserve"> effort to take responsibility for individual consumption habits</w:t>
      </w:r>
      <w:r w:rsidRPr="00031DAD">
        <w:rPr>
          <w:rFonts w:cs="Times New Roman"/>
          <w:color w:val="000000"/>
        </w:rPr>
        <w:t xml:space="preserve"> (Rajput, 2012). </w:t>
      </w:r>
      <w:r>
        <w:rPr>
          <w:rFonts w:cs="Times New Roman"/>
          <w:color w:val="000000"/>
        </w:rPr>
        <w:t xml:space="preserve">Green consumerism provides consumers with a way to be both socially and environmentally conscious </w:t>
      </w:r>
      <w:r w:rsidRPr="00031DAD">
        <w:rPr>
          <w:rFonts w:cs="Times New Roman"/>
          <w:color w:val="000000"/>
        </w:rPr>
        <w:t xml:space="preserve">without be inconvenienced (Fulmer, 2001). </w:t>
      </w:r>
      <w:r>
        <w:rPr>
          <w:rFonts w:cs="Times New Roman"/>
          <w:color w:val="000000"/>
        </w:rPr>
        <w:t xml:space="preserve">Green consumers are often willing to pay more for green products to achieve these goals, demonstrating both the </w:t>
      </w:r>
      <w:r w:rsidRPr="00031DAD">
        <w:rPr>
          <w:rFonts w:cs="Times New Roman"/>
          <w:color w:val="000000"/>
        </w:rPr>
        <w:t xml:space="preserve">level of awareness consumers have </w:t>
      </w:r>
      <w:r>
        <w:rPr>
          <w:rFonts w:cs="Times New Roman"/>
          <w:color w:val="000000"/>
        </w:rPr>
        <w:t>surrounding</w:t>
      </w:r>
      <w:r w:rsidRPr="00031DAD">
        <w:rPr>
          <w:rFonts w:cs="Times New Roman"/>
          <w:color w:val="000000"/>
        </w:rPr>
        <w:t xml:space="preserve"> the consequence</w:t>
      </w:r>
      <w:r>
        <w:rPr>
          <w:rFonts w:cs="Times New Roman"/>
          <w:color w:val="000000"/>
        </w:rPr>
        <w:t>s of their consumptive behavior</w:t>
      </w:r>
      <w:r w:rsidRPr="00031DAD">
        <w:rPr>
          <w:rFonts w:cs="Times New Roman"/>
          <w:color w:val="000000"/>
        </w:rPr>
        <w:t xml:space="preserve"> as well as the degree to which they are embedded within </w:t>
      </w:r>
      <w:r>
        <w:rPr>
          <w:rFonts w:cs="Times New Roman"/>
          <w:color w:val="000000"/>
        </w:rPr>
        <w:t>specific</w:t>
      </w:r>
      <w:r w:rsidRPr="00031DAD">
        <w:rPr>
          <w:rFonts w:cs="Times New Roman"/>
          <w:color w:val="000000"/>
        </w:rPr>
        <w:t xml:space="preserve"> lifestyle habits</w:t>
      </w:r>
      <w:r>
        <w:rPr>
          <w:rFonts w:cs="Times New Roman"/>
          <w:color w:val="000000"/>
        </w:rPr>
        <w:t xml:space="preserve"> (</w:t>
      </w:r>
      <w:proofErr w:type="spellStart"/>
      <w:r>
        <w:rPr>
          <w:rFonts w:cs="Times New Roman"/>
          <w:color w:val="000000"/>
        </w:rPr>
        <w:t>Shrum</w:t>
      </w:r>
      <w:proofErr w:type="spellEnd"/>
      <w:r>
        <w:rPr>
          <w:rFonts w:cs="Times New Roman"/>
          <w:color w:val="000000"/>
        </w:rPr>
        <w:t>, 1995)</w:t>
      </w:r>
      <w:r w:rsidRPr="00031DAD">
        <w:rPr>
          <w:rFonts w:cs="Times New Roman"/>
          <w:color w:val="000000"/>
        </w:rPr>
        <w:t xml:space="preserve">. </w:t>
      </w:r>
    </w:p>
    <w:p w14:paraId="106F5B2D" w14:textId="32DEF5E9" w:rsidR="00D72B8F" w:rsidRDefault="00D72B8F" w:rsidP="00D72B8F">
      <w:pPr>
        <w:spacing w:line="480" w:lineRule="auto"/>
        <w:ind w:firstLine="720"/>
        <w:rPr>
          <w:rFonts w:cs="Times New Roman"/>
          <w:color w:val="000000"/>
        </w:rPr>
      </w:pPr>
      <w:r w:rsidRPr="00031DAD">
        <w:rPr>
          <w:rFonts w:cs="Times New Roman"/>
          <w:color w:val="000000"/>
        </w:rPr>
        <w:t xml:space="preserve">However, environmental concerns are </w:t>
      </w:r>
      <w:r>
        <w:rPr>
          <w:rFonts w:cs="Times New Roman"/>
          <w:color w:val="000000"/>
        </w:rPr>
        <w:t xml:space="preserve">often </w:t>
      </w:r>
      <w:r w:rsidRPr="00031DAD">
        <w:rPr>
          <w:rFonts w:cs="Times New Roman"/>
          <w:color w:val="000000"/>
        </w:rPr>
        <w:t xml:space="preserve">not reflected in purchasing behavior at all. </w:t>
      </w:r>
      <w:r w:rsidRPr="00D53670">
        <w:rPr>
          <w:rFonts w:cs="Times New Roman"/>
        </w:rPr>
        <w:t>Attitudes are thus failing to translate into action (</w:t>
      </w:r>
      <w:proofErr w:type="spellStart"/>
      <w:r w:rsidRPr="00D53670">
        <w:rPr>
          <w:rFonts w:cs="Times New Roman"/>
        </w:rPr>
        <w:t>Mainieri</w:t>
      </w:r>
      <w:proofErr w:type="spellEnd"/>
      <w:r w:rsidRPr="00D53670">
        <w:rPr>
          <w:rFonts w:cs="Times New Roman"/>
        </w:rPr>
        <w:t xml:space="preserve">, 1997). Despite the expansion of green marketing techniques, consumers are not responding in the desired way by making correlated behavioral changes. In order for environmental considerations to become an important factor in mainstream consumer behavior, </w:t>
      </w:r>
      <w:r w:rsidR="00D53670" w:rsidRPr="00D53670">
        <w:rPr>
          <w:rFonts w:cs="Times New Roman"/>
        </w:rPr>
        <w:t>the disjuncture between consumer attitudes and behaviors must be mended</w:t>
      </w:r>
      <w:r w:rsidRPr="00D53670">
        <w:rPr>
          <w:rFonts w:cs="Times New Roman"/>
        </w:rPr>
        <w:t>. It</w:t>
      </w:r>
      <w:r w:rsidRPr="00031DAD">
        <w:rPr>
          <w:rFonts w:cs="Times New Roman"/>
          <w:color w:val="000000"/>
        </w:rPr>
        <w:t xml:space="preserve"> is therefore imperative for corporations to evaluate green labeling and its success at the macro-level.</w:t>
      </w:r>
    </w:p>
    <w:p w14:paraId="1B09979B" w14:textId="708B06EB" w:rsidR="00D72B8F" w:rsidRPr="00031DAD" w:rsidRDefault="00D72B8F" w:rsidP="00D72B8F">
      <w:pPr>
        <w:spacing w:line="480" w:lineRule="auto"/>
        <w:ind w:firstLine="720"/>
        <w:rPr>
          <w:rFonts w:ascii="Times" w:hAnsi="Times" w:cs="Times New Roman"/>
          <w:sz w:val="20"/>
          <w:szCs w:val="20"/>
        </w:rPr>
      </w:pPr>
      <w:r w:rsidRPr="00031DAD">
        <w:rPr>
          <w:rFonts w:cs="Times New Roman"/>
          <w:color w:val="000000"/>
        </w:rPr>
        <w:t xml:space="preserve">Green </w:t>
      </w:r>
      <w:r w:rsidRPr="00C46DC1">
        <w:rPr>
          <w:rFonts w:cs="Times New Roman"/>
        </w:rPr>
        <w:t>labeling</w:t>
      </w:r>
      <w:r w:rsidRPr="00031DAD">
        <w:rPr>
          <w:rFonts w:cs="Times New Roman"/>
          <w:color w:val="000000"/>
        </w:rPr>
        <w:t>, the most common form of green marketing, is the marketing of products that are presumed to be environmentally safe, by focusing on cognitive persuasion strategies (</w:t>
      </w:r>
      <w:proofErr w:type="spellStart"/>
      <w:r w:rsidRPr="00031DAD">
        <w:rPr>
          <w:rFonts w:cs="Times New Roman"/>
          <w:color w:val="000000"/>
        </w:rPr>
        <w:t>Sarumathi</w:t>
      </w:r>
      <w:proofErr w:type="spellEnd"/>
      <w:r w:rsidRPr="00031DAD">
        <w:rPr>
          <w:rFonts w:cs="Times New Roman"/>
          <w:color w:val="000000"/>
        </w:rPr>
        <w:t xml:space="preserve">, 2014). </w:t>
      </w:r>
      <w:r w:rsidR="00413F9E">
        <w:rPr>
          <w:rFonts w:cs="Times New Roman"/>
          <w:color w:val="000000"/>
        </w:rPr>
        <w:t>G</w:t>
      </w:r>
      <w:r w:rsidRPr="00031DAD">
        <w:rPr>
          <w:rFonts w:cs="Times New Roman"/>
          <w:color w:val="000000"/>
        </w:rPr>
        <w:t>reen marketing strategies are primarily seen as an educative medium used to inform consumers about intangible product characteristics</w:t>
      </w:r>
      <w:r>
        <w:rPr>
          <w:rFonts w:cs="Times New Roman"/>
          <w:color w:val="FF0000"/>
        </w:rPr>
        <w:t xml:space="preserve"> </w:t>
      </w:r>
      <w:r w:rsidRPr="00031DAD">
        <w:rPr>
          <w:rFonts w:cs="Times New Roman"/>
          <w:color w:val="000000"/>
        </w:rPr>
        <w:t>(</w:t>
      </w:r>
      <w:proofErr w:type="spellStart"/>
      <w:r w:rsidRPr="00031DAD">
        <w:rPr>
          <w:rFonts w:cs="Times New Roman"/>
          <w:color w:val="000000"/>
        </w:rPr>
        <w:t>Delafrooz</w:t>
      </w:r>
      <w:proofErr w:type="spellEnd"/>
      <w:r w:rsidRPr="00031DAD">
        <w:rPr>
          <w:rFonts w:cs="Times New Roman"/>
          <w:color w:val="000000"/>
        </w:rPr>
        <w:t>, 2014).</w:t>
      </w:r>
    </w:p>
    <w:p w14:paraId="5A09C902" w14:textId="4D5BCD15" w:rsidR="00D72B8F" w:rsidRPr="004D0D11" w:rsidRDefault="00D72B8F" w:rsidP="00D72B8F">
      <w:pPr>
        <w:spacing w:line="480" w:lineRule="auto"/>
        <w:ind w:firstLine="720"/>
        <w:rPr>
          <w:rFonts w:cs="Times New Roman"/>
          <w:color w:val="FF0000"/>
        </w:rPr>
      </w:pPr>
      <w:r>
        <w:rPr>
          <w:u w:color="000000"/>
        </w:rPr>
        <w:t xml:space="preserve">Currently, green marketing strategies are faced with the challenge of how to effectively demonstrate products’ environmental characteristics. This is because </w:t>
      </w:r>
      <w:proofErr w:type="gramStart"/>
      <w:r>
        <w:rPr>
          <w:rFonts w:cs="Times New Roman"/>
          <w:color w:val="000000"/>
        </w:rPr>
        <w:t>green-washing</w:t>
      </w:r>
      <w:proofErr w:type="gramEnd"/>
      <w:r>
        <w:rPr>
          <w:rFonts w:cs="Times New Roman"/>
          <w:color w:val="000000"/>
        </w:rPr>
        <w:t xml:space="preserve"> in product marketing has degraded the authenticity of legitimate eco-labels and environmental certifications. In addition,</w:t>
      </w:r>
      <w:r>
        <w:rPr>
          <w:u w:color="000000"/>
        </w:rPr>
        <w:t xml:space="preserve"> ambiguity surrounding the implications of specific terms, labels, and certifications has lead to a general consensus that the majority of eco-labels are merely “feel-good” slogans designed to trick consumers to paying more for a product with no guarantee of real environmental benefits (Fulmer, 2001). </w:t>
      </w:r>
    </w:p>
    <w:p w14:paraId="014DD8CD" w14:textId="2992BDAC" w:rsidR="00DD3E1F" w:rsidRDefault="00D72B8F" w:rsidP="00DD3E1F">
      <w:pPr>
        <w:spacing w:line="480" w:lineRule="auto"/>
        <w:ind w:firstLine="720"/>
        <w:rPr>
          <w:rFonts w:cs="Times New Roman"/>
          <w:color w:val="000000"/>
        </w:rPr>
      </w:pPr>
      <w:r>
        <w:rPr>
          <w:u w:color="000000"/>
        </w:rPr>
        <w:t xml:space="preserve">In the United States, the lack of government-endorsed labels and standardized certification qualifications makes it difficult for consumers to clearly differentiate green products from their competitors (Smith, 2014). </w:t>
      </w:r>
      <w:r w:rsidRPr="00C46DC1">
        <w:rPr>
          <w:u w:color="000000"/>
        </w:rPr>
        <w:t>The lack of standardization to corroborate products</w:t>
      </w:r>
      <w:r w:rsidR="008D5403" w:rsidRPr="00C46DC1">
        <w:rPr>
          <w:u w:color="000000"/>
        </w:rPr>
        <w:t>’</w:t>
      </w:r>
      <w:r w:rsidRPr="00C46DC1">
        <w:rPr>
          <w:u w:color="000000"/>
        </w:rPr>
        <w:t xml:space="preserve"> green claims leaves the consumer responsible for deciphering </w:t>
      </w:r>
      <w:r w:rsidR="008C3D74" w:rsidRPr="00C46DC1">
        <w:rPr>
          <w:u w:color="000000"/>
        </w:rPr>
        <w:t>between legitimate and conflated labeling implications</w:t>
      </w:r>
      <w:r w:rsidRPr="00C46DC1">
        <w:rPr>
          <w:u w:color="000000"/>
        </w:rPr>
        <w:t>. The issue thus resides with how Millennials interpret environmental terminology itself. A 2014 study fo</w:t>
      </w:r>
      <w:r>
        <w:rPr>
          <w:u w:color="000000"/>
        </w:rPr>
        <w:t>und that consumers are best at defining the terms “biodegradable” and “recycled”, while the terms “eco-friendly”, “green”, and “nature-friendly” are the most ambiguous (Smith, 2014). However, the terms that most strongly convey to consumers that an item is environmentally preferable were found to be “eco-friendly”, “recycled”, and “green”, demonstrating a lack of clarity regarding the definitions of environmental terminology among consumers (Smith, 2014).</w:t>
      </w:r>
    </w:p>
    <w:p w14:paraId="7B9C9FE6" w14:textId="2282CEAC" w:rsidR="00D72B8F" w:rsidRPr="00DD3E1F" w:rsidRDefault="00D72B8F" w:rsidP="00DD3E1F">
      <w:pPr>
        <w:spacing w:line="480" w:lineRule="auto"/>
        <w:ind w:firstLine="720"/>
        <w:rPr>
          <w:rFonts w:cs="Times New Roman"/>
          <w:color w:val="000000"/>
        </w:rPr>
      </w:pPr>
      <w:r w:rsidRPr="00031DAD">
        <w:rPr>
          <w:rFonts w:cs="Times New Roman"/>
          <w:color w:val="000000"/>
        </w:rPr>
        <w:t xml:space="preserve">Corporations often use labels strictly as a marketing tool, “green-washing” their claims in order to reap the monetary benefits. As such, claims are not verified and the differences between legitimate programs and marketing shams are unclear to consumers. Standards not only lose their meaning, but the label and/or logo becomes inconsistent with meaning from product to product. A 2007 study by </w:t>
      </w:r>
      <w:proofErr w:type="spellStart"/>
      <w:r w:rsidRPr="00031DAD">
        <w:rPr>
          <w:rFonts w:cs="Times New Roman"/>
          <w:color w:val="000000"/>
        </w:rPr>
        <w:t>TerraChoice</w:t>
      </w:r>
      <w:proofErr w:type="spellEnd"/>
      <w:r w:rsidRPr="00031DAD">
        <w:rPr>
          <w:rFonts w:cs="Times New Roman"/>
          <w:color w:val="000000"/>
        </w:rPr>
        <w:t xml:space="preserve"> Environmental Marketing Inc. examined 1,753 environmental product claims and found that all but one were misleading or just plain false (</w:t>
      </w:r>
      <w:proofErr w:type="spellStart"/>
      <w:r w:rsidRPr="00031DAD">
        <w:rPr>
          <w:rFonts w:cs="Times New Roman"/>
          <w:color w:val="000000"/>
        </w:rPr>
        <w:t>TerraChoice</w:t>
      </w:r>
      <w:proofErr w:type="spellEnd"/>
      <w:r w:rsidRPr="00031DAD">
        <w:rPr>
          <w:rFonts w:cs="Times New Roman"/>
          <w:color w:val="000000"/>
        </w:rPr>
        <w:t>, 2007). Such distrust was found to be one of five of the major barriers to green consumer purchasing (</w:t>
      </w:r>
      <w:proofErr w:type="spellStart"/>
      <w:r w:rsidRPr="00031DAD">
        <w:rPr>
          <w:rFonts w:cs="Times New Roman"/>
          <w:color w:val="000000"/>
        </w:rPr>
        <w:t>Bonini</w:t>
      </w:r>
      <w:proofErr w:type="spellEnd"/>
      <w:r w:rsidRPr="00031DAD">
        <w:rPr>
          <w:rFonts w:cs="Times New Roman"/>
          <w:color w:val="000000"/>
        </w:rPr>
        <w:t>, 2008).</w:t>
      </w:r>
    </w:p>
    <w:p w14:paraId="42AF3BCE" w14:textId="2EC95C09" w:rsidR="00D72B8F" w:rsidRPr="002873EF" w:rsidRDefault="00D72B8F" w:rsidP="00D72B8F">
      <w:pPr>
        <w:spacing w:line="480" w:lineRule="auto"/>
        <w:ind w:firstLine="720"/>
        <w:rPr>
          <w:rFonts w:cs="Times New Roman"/>
          <w:color w:val="212121"/>
        </w:rPr>
      </w:pPr>
      <w:r w:rsidRPr="00031DAD">
        <w:rPr>
          <w:rFonts w:cs="Times New Roman"/>
          <w:color w:val="212121"/>
        </w:rPr>
        <w:t xml:space="preserve">Research has also been conducted on the effectiveness of eco-labels in inspiring green consumerism. </w:t>
      </w:r>
      <w:r>
        <w:rPr>
          <w:rFonts w:cs="Times New Roman"/>
          <w:color w:val="212121"/>
        </w:rPr>
        <w:t>Studies found that c</w:t>
      </w:r>
      <w:r w:rsidRPr="00031DAD">
        <w:rPr>
          <w:rFonts w:cs="Times New Roman"/>
          <w:color w:val="212121"/>
        </w:rPr>
        <w:t xml:space="preserve">onsumers are most likely to buy a green product if it is not too dissimilar to </w:t>
      </w:r>
      <w:r>
        <w:rPr>
          <w:rFonts w:cs="Times New Roman"/>
          <w:color w:val="212121"/>
        </w:rPr>
        <w:t>conventional options in terms of function, quality, and price</w:t>
      </w:r>
      <w:r w:rsidRPr="00031DAD">
        <w:rPr>
          <w:rFonts w:cs="Times New Roman"/>
          <w:color w:val="212121"/>
        </w:rPr>
        <w:t xml:space="preserve">. </w:t>
      </w:r>
      <w:r>
        <w:rPr>
          <w:rFonts w:cs="Times New Roman"/>
          <w:color w:val="212121"/>
        </w:rPr>
        <w:t xml:space="preserve">However, </w:t>
      </w:r>
      <w:r>
        <w:rPr>
          <w:rFonts w:ascii="Arial"/>
          <w:u w:color="000000"/>
        </w:rPr>
        <w:t>t</w:t>
      </w:r>
      <w:r>
        <w:rPr>
          <w:u w:color="000000"/>
        </w:rPr>
        <w:t xml:space="preserve">here remains a general lack of consensus on how Millennials respond to green marketing. A 2013 analyzing the effects of various product attributes </w:t>
      </w:r>
      <w:r w:rsidR="008C3D74">
        <w:rPr>
          <w:u w:color="000000"/>
        </w:rPr>
        <w:t xml:space="preserve">and their influence </w:t>
      </w:r>
      <w:r>
        <w:rPr>
          <w:u w:color="000000"/>
        </w:rPr>
        <w:t>on Millennials’ consumptive behavior showed that environmental marketing emphasizing a product</w:t>
      </w:r>
      <w:r>
        <w:rPr>
          <w:u w:color="000000"/>
          <w:lang w:val="fr-FR"/>
        </w:rPr>
        <w:t>’</w:t>
      </w:r>
      <w:r>
        <w:rPr>
          <w:u w:color="000000"/>
        </w:rPr>
        <w:t xml:space="preserve">s recyclability, bio-degradability, and positive health benefits had the most potential to increase purchasing intent. Likewise, the study found that price, difficulty in differentiating between green and non-green products, lack of trust in the legitimacy of green claims, and the perceived inferiority of environmental alternatives to be the main inhibitors to green purchasing. </w:t>
      </w:r>
    </w:p>
    <w:p w14:paraId="31002A43" w14:textId="77777777" w:rsidR="00D95B5E" w:rsidRDefault="00D95B5E" w:rsidP="002A7B8F">
      <w:pPr>
        <w:spacing w:line="480" w:lineRule="auto"/>
        <w:rPr>
          <w:rFonts w:cs="Times New Roman"/>
          <w:color w:val="212121"/>
        </w:rPr>
      </w:pPr>
    </w:p>
    <w:p w14:paraId="21C472E2" w14:textId="08780FBD" w:rsidR="006A686D" w:rsidRDefault="006A686D" w:rsidP="006A686D">
      <w:pPr>
        <w:spacing w:line="480" w:lineRule="auto"/>
        <w:rPr>
          <w:rFonts w:cs="Times New Roman"/>
          <w:color w:val="212121"/>
        </w:rPr>
      </w:pPr>
      <w:r>
        <w:rPr>
          <w:rFonts w:cs="Times New Roman"/>
          <w:b/>
          <w:color w:val="212121"/>
        </w:rPr>
        <w:t>Millennials and the Green Consumer</w:t>
      </w:r>
    </w:p>
    <w:p w14:paraId="59EAB56D" w14:textId="38B04BE5" w:rsidR="00843198" w:rsidRDefault="00843198" w:rsidP="006A686D">
      <w:pPr>
        <w:spacing w:line="480" w:lineRule="auto"/>
        <w:ind w:firstLine="720"/>
        <w:rPr>
          <w:rFonts w:cs="Times New Roman"/>
          <w:color w:val="000000"/>
        </w:rPr>
      </w:pPr>
      <w:r w:rsidRPr="00031DAD">
        <w:rPr>
          <w:rFonts w:cs="Times New Roman"/>
          <w:color w:val="000000"/>
        </w:rPr>
        <w:t xml:space="preserve">Green marketing became a noticeable trend in the 1990s when companies began using general social awareness and concern over publicized environmental issues as a basis for profit generation. While originally deemed a fleeting fad, green marketing successfully attracted a substantial consumer base that demanded a more environmentally responsible product (Smith and Brower, 2012). The Millennial generation, born roughly between the 1980s and the turn of the </w:t>
      </w:r>
      <w:proofErr w:type="gramStart"/>
      <w:r w:rsidRPr="00031DAD">
        <w:rPr>
          <w:rFonts w:cs="Times New Roman"/>
          <w:color w:val="000000"/>
        </w:rPr>
        <w:t>century,</w:t>
      </w:r>
      <w:proofErr w:type="gramEnd"/>
      <w:r w:rsidRPr="00031DAD">
        <w:rPr>
          <w:rFonts w:cs="Times New Roman"/>
          <w:color w:val="000000"/>
        </w:rPr>
        <w:t xml:space="preserve"> are widely recognized as a target group for green marketing schemes because of the unique conditions of the period they grew up in. The Millennials, aged approximately 1</w:t>
      </w:r>
      <w:r w:rsidR="008C3D74">
        <w:rPr>
          <w:rFonts w:cs="Times New Roman"/>
          <w:color w:val="000000"/>
        </w:rPr>
        <w:t>8</w:t>
      </w:r>
      <w:r w:rsidRPr="00031DAD">
        <w:rPr>
          <w:rFonts w:cs="Times New Roman"/>
          <w:color w:val="000000"/>
        </w:rPr>
        <w:t xml:space="preserve">-24, were socialized during a period of rapid technological development, and as a result are not as receptive to traditional media channels as preceding generations (Vermillion and </w:t>
      </w:r>
      <w:proofErr w:type="spellStart"/>
      <w:r w:rsidRPr="00031DAD">
        <w:rPr>
          <w:rFonts w:cs="Times New Roman"/>
          <w:color w:val="000000"/>
        </w:rPr>
        <w:t>Peart</w:t>
      </w:r>
      <w:proofErr w:type="spellEnd"/>
      <w:r w:rsidRPr="00031DAD">
        <w:rPr>
          <w:rFonts w:cs="Times New Roman"/>
          <w:color w:val="000000"/>
        </w:rPr>
        <w:t xml:space="preserve">, 2010). This generation is also highly educated, making them acutely aware of social and environmental issues affecting them and the world they live in. As a result, environmental </w:t>
      </w:r>
      <w:r>
        <w:rPr>
          <w:rFonts w:cs="Times New Roman"/>
          <w:color w:val="000000"/>
        </w:rPr>
        <w:t>consciousness</w:t>
      </w:r>
      <w:r w:rsidRPr="00031DAD">
        <w:rPr>
          <w:rFonts w:cs="Times New Roman"/>
          <w:color w:val="000000"/>
        </w:rPr>
        <w:t xml:space="preserve"> has become a </w:t>
      </w:r>
      <w:r>
        <w:rPr>
          <w:rFonts w:cs="Times New Roman"/>
          <w:color w:val="000000"/>
        </w:rPr>
        <w:t>prominent</w:t>
      </w:r>
      <w:r w:rsidRPr="00031DAD">
        <w:rPr>
          <w:rFonts w:cs="Times New Roman"/>
          <w:color w:val="000000"/>
        </w:rPr>
        <w:t xml:space="preserve"> social norm among Millennials, leading to the assumption that </w:t>
      </w:r>
      <w:r w:rsidR="00DA1F2F">
        <w:rPr>
          <w:rFonts w:cs="Times New Roman"/>
          <w:color w:val="000000"/>
        </w:rPr>
        <w:t>the</w:t>
      </w:r>
      <w:r w:rsidRPr="00031DAD">
        <w:rPr>
          <w:rFonts w:cs="Times New Roman"/>
          <w:color w:val="000000"/>
        </w:rPr>
        <w:t xml:space="preserve"> generation is inherently more concerned with, and concerned about, the environment (Smith and Brower, 2012). However, studies have shown that social desirability plays a much larger role in influencing Millennials’ purchasing decisions than does environmental </w:t>
      </w:r>
      <w:r>
        <w:rPr>
          <w:rFonts w:cs="Times New Roman"/>
          <w:color w:val="000000"/>
        </w:rPr>
        <w:t>concern</w:t>
      </w:r>
      <w:r w:rsidRPr="00031DAD">
        <w:rPr>
          <w:rFonts w:cs="Times New Roman"/>
          <w:color w:val="000000"/>
        </w:rPr>
        <w:t>. This explains the discrepancy between how Millennials represent themselves in surveys and their actual consumer behaviors (</w:t>
      </w:r>
      <w:proofErr w:type="spellStart"/>
      <w:r w:rsidRPr="00031DAD">
        <w:rPr>
          <w:rFonts w:cs="Times New Roman"/>
          <w:color w:val="000000"/>
        </w:rPr>
        <w:t>Furlow</w:t>
      </w:r>
      <w:proofErr w:type="spellEnd"/>
      <w:r w:rsidRPr="00031DAD">
        <w:rPr>
          <w:rFonts w:cs="Times New Roman"/>
          <w:color w:val="000000"/>
        </w:rPr>
        <w:t xml:space="preserve"> and Knott, 2009). However, increased education has also served to raise awareness among Millennials of the benefits of green</w:t>
      </w:r>
      <w:r>
        <w:rPr>
          <w:rFonts w:cs="Times New Roman"/>
          <w:color w:val="000000"/>
        </w:rPr>
        <w:t xml:space="preserve"> consumption, leading to the growth of the “green” consumer base (Lu et al, 2013).</w:t>
      </w:r>
    </w:p>
    <w:p w14:paraId="08CA25EC" w14:textId="1AEC401D" w:rsidR="00843198" w:rsidRDefault="00843198" w:rsidP="006A686D">
      <w:pPr>
        <w:spacing w:line="480" w:lineRule="auto"/>
        <w:ind w:firstLine="720"/>
        <w:rPr>
          <w:rFonts w:cs="Times New Roman"/>
          <w:color w:val="000000"/>
        </w:rPr>
      </w:pPr>
      <w:r w:rsidRPr="00031DAD">
        <w:rPr>
          <w:rFonts w:cs="Times New Roman"/>
          <w:color w:val="000000"/>
        </w:rPr>
        <w:t xml:space="preserve">The green consumer has several characteristics that coincide with </w:t>
      </w:r>
      <w:proofErr w:type="gramStart"/>
      <w:r w:rsidRPr="00031DAD">
        <w:rPr>
          <w:rFonts w:cs="Times New Roman"/>
          <w:color w:val="000000"/>
        </w:rPr>
        <w:t>Millennial</w:t>
      </w:r>
      <w:proofErr w:type="gramEnd"/>
      <w:r w:rsidRPr="00031DAD">
        <w:rPr>
          <w:rFonts w:cs="Times New Roman"/>
          <w:color w:val="000000"/>
        </w:rPr>
        <w:t xml:space="preserve"> beliefs and values, </w:t>
      </w:r>
      <w:r w:rsidR="00DA1F2F">
        <w:rPr>
          <w:rFonts w:cs="Times New Roman"/>
          <w:color w:val="000000"/>
        </w:rPr>
        <w:t xml:space="preserve">which is why Millennials are </w:t>
      </w:r>
      <w:r w:rsidRPr="00031DAD">
        <w:rPr>
          <w:rFonts w:cs="Times New Roman"/>
          <w:color w:val="000000"/>
        </w:rPr>
        <w:t xml:space="preserve">a valuable target group for green marketing initiatives. Green consumers are generally younger, better educated, and have higher </w:t>
      </w:r>
      <w:r>
        <w:rPr>
          <w:rFonts w:cs="Times New Roman"/>
          <w:color w:val="000000"/>
        </w:rPr>
        <w:t>earning potential</w:t>
      </w:r>
      <w:r w:rsidRPr="00031DAD">
        <w:rPr>
          <w:rFonts w:cs="Times New Roman"/>
          <w:color w:val="000000"/>
        </w:rPr>
        <w:t xml:space="preserve"> than consumers </w:t>
      </w:r>
      <w:r>
        <w:rPr>
          <w:rFonts w:cs="Times New Roman"/>
          <w:color w:val="000000"/>
        </w:rPr>
        <w:t>un</w:t>
      </w:r>
      <w:r w:rsidRPr="00031DAD">
        <w:rPr>
          <w:rFonts w:cs="Times New Roman"/>
          <w:color w:val="000000"/>
        </w:rPr>
        <w:t xml:space="preserve">concerned with the environment (Vermillion and </w:t>
      </w:r>
      <w:proofErr w:type="spellStart"/>
      <w:r w:rsidRPr="00031DAD">
        <w:rPr>
          <w:rFonts w:cs="Times New Roman"/>
          <w:color w:val="000000"/>
        </w:rPr>
        <w:t>Peart</w:t>
      </w:r>
      <w:proofErr w:type="spellEnd"/>
      <w:r w:rsidRPr="00031DAD">
        <w:rPr>
          <w:rFonts w:cs="Times New Roman"/>
          <w:color w:val="000000"/>
        </w:rPr>
        <w:t xml:space="preserve">, 2010). All of these </w:t>
      </w:r>
      <w:r>
        <w:rPr>
          <w:rFonts w:cs="Times New Roman"/>
          <w:color w:val="000000"/>
        </w:rPr>
        <w:t>attributes</w:t>
      </w:r>
      <w:r w:rsidRPr="00031DAD">
        <w:rPr>
          <w:rFonts w:cs="Times New Roman"/>
          <w:color w:val="000000"/>
        </w:rPr>
        <w:t xml:space="preserve"> similarly describe the </w:t>
      </w:r>
      <w:proofErr w:type="gramStart"/>
      <w:r w:rsidRPr="00031DAD">
        <w:rPr>
          <w:rFonts w:cs="Times New Roman"/>
          <w:color w:val="000000"/>
        </w:rPr>
        <w:t>Millennial</w:t>
      </w:r>
      <w:proofErr w:type="gramEnd"/>
      <w:r w:rsidRPr="00031DAD">
        <w:rPr>
          <w:rFonts w:cs="Times New Roman"/>
          <w:color w:val="000000"/>
        </w:rPr>
        <w:t xml:space="preserve"> </w:t>
      </w:r>
      <w:r>
        <w:rPr>
          <w:rFonts w:cs="Times New Roman"/>
          <w:color w:val="000000"/>
        </w:rPr>
        <w:t>generation</w:t>
      </w:r>
      <w:r w:rsidRPr="00031DAD">
        <w:rPr>
          <w:rFonts w:cs="Times New Roman"/>
          <w:color w:val="000000"/>
        </w:rPr>
        <w:t xml:space="preserve">. While these characteristics create a threshold for the environmentally conscious consumer, they also expose the three main reasons why consumers often choose not to buy “green”: namely, cost, quality, and transparency. Vermillion and </w:t>
      </w:r>
      <w:proofErr w:type="spellStart"/>
      <w:r w:rsidRPr="00031DAD">
        <w:rPr>
          <w:rFonts w:cs="Times New Roman"/>
          <w:color w:val="000000"/>
        </w:rPr>
        <w:t>Peart</w:t>
      </w:r>
      <w:proofErr w:type="spellEnd"/>
      <w:r w:rsidRPr="00031DAD">
        <w:rPr>
          <w:rFonts w:cs="Times New Roman"/>
          <w:color w:val="000000"/>
        </w:rPr>
        <w:t xml:space="preserve"> (2010) found that 74% of consumers find green products to be too expensive, 61% find green products to be of lower quality than generic counterparts, and 55% of consumers find green advertising to be misleading or misrepresentative of </w:t>
      </w:r>
      <w:r>
        <w:rPr>
          <w:rFonts w:cs="Times New Roman"/>
          <w:color w:val="000000"/>
        </w:rPr>
        <w:t xml:space="preserve">a product’s true </w:t>
      </w:r>
      <w:r w:rsidRPr="00031DAD">
        <w:rPr>
          <w:rFonts w:cs="Times New Roman"/>
          <w:color w:val="000000"/>
        </w:rPr>
        <w:t>environmental impacts and benefits. These issues directly affect the purchasing decisions of the Millennial</w:t>
      </w:r>
      <w:r>
        <w:rPr>
          <w:rFonts w:cs="Times New Roman"/>
          <w:color w:val="000000"/>
        </w:rPr>
        <w:t xml:space="preserve"> Generation, despite their predisposition towards “green” consumption.</w:t>
      </w:r>
    </w:p>
    <w:p w14:paraId="31A8174B" w14:textId="17E5BEA0" w:rsidR="00843198" w:rsidRDefault="00843198" w:rsidP="006A686D">
      <w:pPr>
        <w:spacing w:line="480" w:lineRule="auto"/>
        <w:ind w:firstLine="720"/>
        <w:rPr>
          <w:rFonts w:cs="Times New Roman"/>
          <w:color w:val="000000"/>
        </w:rPr>
      </w:pPr>
      <w:r w:rsidRPr="00031DAD">
        <w:rPr>
          <w:rFonts w:cs="Times New Roman"/>
          <w:color w:val="000000"/>
        </w:rPr>
        <w:t>Although it is widely argued that the Millennial Generation is more environmentally conscious than previous generations (</w:t>
      </w:r>
      <w:proofErr w:type="spellStart"/>
      <w:r w:rsidRPr="00031DAD">
        <w:rPr>
          <w:rFonts w:cs="Times New Roman"/>
          <w:color w:val="000000"/>
        </w:rPr>
        <w:t>Gaudelli</w:t>
      </w:r>
      <w:proofErr w:type="spellEnd"/>
      <w:r w:rsidRPr="00031DAD">
        <w:rPr>
          <w:rFonts w:cs="Times New Roman"/>
          <w:color w:val="000000"/>
        </w:rPr>
        <w:t>, 2009), and therefore the most susceptible to green marketing strategies, there are several important caveats to this assumption. Several studies have found that Millennials are genuinely interested in supporting environmental causes (Lu et al, 2013), however it has yet to be seen that this awareness has lead to any significant behavioral changes. Despite higher levels of environmental education and exposure to the reality of environmental issues through the media, Millennial consumers do not consider themselves responsible for changing their lifestyle habits to practices that positively impact the environment, and are overall less inclined to choose environmental benefit over personal comfort or convenience (Head, 2013).</w:t>
      </w:r>
    </w:p>
    <w:p w14:paraId="709FF8A5" w14:textId="5735E4B2" w:rsidR="00843198" w:rsidRDefault="00843198" w:rsidP="006A686D">
      <w:pPr>
        <w:spacing w:line="480" w:lineRule="auto"/>
        <w:ind w:firstLine="720"/>
        <w:rPr>
          <w:rFonts w:cs="Times New Roman"/>
          <w:color w:val="000000"/>
        </w:rPr>
      </w:pPr>
      <w:r w:rsidRPr="00031DAD">
        <w:rPr>
          <w:rFonts w:cs="Times New Roman"/>
          <w:color w:val="000000"/>
        </w:rPr>
        <w:t xml:space="preserve">The Millennials’ exposure to environmental problems has centered </w:t>
      </w:r>
      <w:proofErr w:type="gramStart"/>
      <w:r w:rsidRPr="00031DAD">
        <w:rPr>
          <w:rFonts w:cs="Times New Roman"/>
          <w:color w:val="000000"/>
        </w:rPr>
        <w:t>around</w:t>
      </w:r>
      <w:proofErr w:type="gramEnd"/>
      <w:r w:rsidRPr="00031DAD">
        <w:rPr>
          <w:rFonts w:cs="Times New Roman"/>
          <w:color w:val="000000"/>
        </w:rPr>
        <w:t xml:space="preserve"> mass media and coverage of issues that engage different social groups with environmental concerns. For this reason, being “green” is now widely </w:t>
      </w:r>
      <w:r>
        <w:rPr>
          <w:rFonts w:cs="Times New Roman"/>
          <w:color w:val="000000"/>
        </w:rPr>
        <w:t>considered to be</w:t>
      </w:r>
      <w:r w:rsidRPr="00031DAD">
        <w:rPr>
          <w:rFonts w:cs="Times New Roman"/>
          <w:color w:val="000000"/>
        </w:rPr>
        <w:t xml:space="preserve"> more of a lifestyle choice </w:t>
      </w:r>
      <w:r>
        <w:rPr>
          <w:rFonts w:cs="Times New Roman"/>
          <w:color w:val="000000"/>
        </w:rPr>
        <w:t>that has</w:t>
      </w:r>
      <w:r w:rsidRPr="00031DAD">
        <w:rPr>
          <w:rFonts w:cs="Times New Roman"/>
          <w:color w:val="000000"/>
        </w:rPr>
        <w:t xml:space="preserve"> minimal adverse environmental impact (</w:t>
      </w:r>
      <w:proofErr w:type="spellStart"/>
      <w:r w:rsidRPr="00031DAD">
        <w:rPr>
          <w:rFonts w:cs="Times New Roman"/>
          <w:color w:val="000000"/>
        </w:rPr>
        <w:t>Furlow</w:t>
      </w:r>
      <w:proofErr w:type="spellEnd"/>
      <w:r w:rsidRPr="00031DAD">
        <w:rPr>
          <w:rFonts w:cs="Times New Roman"/>
          <w:color w:val="000000"/>
        </w:rPr>
        <w:t xml:space="preserve"> and Knott, 2009). Under these circumstances, consumers’ perceptions of the real-world impact of </w:t>
      </w:r>
      <w:proofErr w:type="gramStart"/>
      <w:r w:rsidRPr="00031DAD">
        <w:rPr>
          <w:rFonts w:cs="Times New Roman"/>
          <w:color w:val="000000"/>
        </w:rPr>
        <w:t>their</w:t>
      </w:r>
      <w:proofErr w:type="gramEnd"/>
      <w:r w:rsidRPr="00031DAD">
        <w:rPr>
          <w:rFonts w:cs="Times New Roman"/>
          <w:color w:val="000000"/>
        </w:rPr>
        <w:t xml:space="preserve"> purchasing decisions is the best predictor of future environmentally conscious consumption. In other words, consumers who are able to see the direct results of their buying decisions are more likely to invest in environmentally friendly products (</w:t>
      </w:r>
      <w:proofErr w:type="spellStart"/>
      <w:r w:rsidRPr="00031DAD">
        <w:rPr>
          <w:rFonts w:cs="Times New Roman"/>
          <w:color w:val="000000"/>
        </w:rPr>
        <w:t>Furl</w:t>
      </w:r>
      <w:r>
        <w:rPr>
          <w:rFonts w:cs="Times New Roman"/>
          <w:color w:val="000000"/>
        </w:rPr>
        <w:t>ow</w:t>
      </w:r>
      <w:proofErr w:type="spellEnd"/>
      <w:r>
        <w:rPr>
          <w:rFonts w:cs="Times New Roman"/>
          <w:color w:val="000000"/>
        </w:rPr>
        <w:t xml:space="preserve"> and Knott, 2009). Millennial consumptive</w:t>
      </w:r>
      <w:r w:rsidRPr="00031DAD">
        <w:rPr>
          <w:rFonts w:cs="Times New Roman"/>
          <w:color w:val="000000"/>
        </w:rPr>
        <w:t xml:space="preserve"> behaviors are also influenced by individual consumer values and beliefs (Smith and Brower, 2012), which </w:t>
      </w:r>
      <w:r>
        <w:rPr>
          <w:rFonts w:cs="Times New Roman"/>
          <w:color w:val="000000"/>
        </w:rPr>
        <w:t>are largely shaped</w:t>
      </w:r>
      <w:r w:rsidRPr="00031DAD">
        <w:rPr>
          <w:rFonts w:cs="Times New Roman"/>
          <w:color w:val="000000"/>
        </w:rPr>
        <w:t xml:space="preserve"> by social relationships. This generation sees buying “green” as their effort to demonstrate their environmental consciousness, a value that is often used as a form of social validation (Vermillion and </w:t>
      </w:r>
      <w:proofErr w:type="spellStart"/>
      <w:r w:rsidRPr="00031DAD">
        <w:rPr>
          <w:rFonts w:cs="Times New Roman"/>
          <w:color w:val="000000"/>
        </w:rPr>
        <w:t>Peart</w:t>
      </w:r>
      <w:proofErr w:type="spellEnd"/>
      <w:r w:rsidRPr="00031DAD">
        <w:rPr>
          <w:rFonts w:cs="Times New Roman"/>
          <w:color w:val="000000"/>
        </w:rPr>
        <w:t>, 2010). The Millennial generation is aware of the importance of ecological sustainability and environmental protection</w:t>
      </w:r>
      <w:proofErr w:type="gramStart"/>
      <w:r w:rsidRPr="00031DAD">
        <w:rPr>
          <w:rFonts w:cs="Times New Roman"/>
          <w:color w:val="000000"/>
        </w:rPr>
        <w:t>;</w:t>
      </w:r>
      <w:proofErr w:type="gramEnd"/>
      <w:r w:rsidRPr="00031DAD">
        <w:rPr>
          <w:rFonts w:cs="Times New Roman"/>
          <w:color w:val="000000"/>
        </w:rPr>
        <w:t xml:space="preserve"> Smith and Brower (2012) state that 47% of Millennials would be willing to pay more for environmentally beneficial products and services. However, while concern for the environment does foster green consumer values, Millennials are accustomed to certain standards of convenience, availability, quality, and performance that they are not necessarily willing to forego in order to achieve intangible benefits (Lu et al, 2013). Social influence among younger consumers creates group norms that put pressure on green purchasing behaviors, and as a result consumers are unwilling to sacrifice quality or lifestyle standards simply to “go</w:t>
      </w:r>
      <w:r>
        <w:rPr>
          <w:rFonts w:cs="Times New Roman"/>
          <w:color w:val="000000"/>
        </w:rPr>
        <w:t xml:space="preserve"> green” (Lu et al, 2013).</w:t>
      </w:r>
    </w:p>
    <w:p w14:paraId="3BF3289A" w14:textId="77777777" w:rsidR="00FF4D8C" w:rsidRPr="00031DAD" w:rsidRDefault="00FF4D8C" w:rsidP="00FF4D8C">
      <w:pPr>
        <w:spacing w:line="480" w:lineRule="auto"/>
        <w:ind w:firstLine="720"/>
        <w:rPr>
          <w:rFonts w:ascii="Times" w:hAnsi="Times" w:cs="Times New Roman"/>
          <w:sz w:val="20"/>
          <w:szCs w:val="20"/>
        </w:rPr>
      </w:pPr>
      <w:r w:rsidRPr="00031DAD">
        <w:rPr>
          <w:rFonts w:cs="Times New Roman"/>
          <w:color w:val="000000"/>
        </w:rPr>
        <w:t xml:space="preserve">The trend of green consumerism remains on the forefront of contemporary purchasing habits, with </w:t>
      </w:r>
      <w:proofErr w:type="gramStart"/>
      <w:r w:rsidRPr="00031DAD">
        <w:rPr>
          <w:rFonts w:cs="Times New Roman"/>
          <w:color w:val="000000"/>
        </w:rPr>
        <w:t>Millennial</w:t>
      </w:r>
      <w:proofErr w:type="gramEnd"/>
      <w:r w:rsidRPr="00031DAD">
        <w:rPr>
          <w:rFonts w:cs="Times New Roman"/>
          <w:color w:val="000000"/>
        </w:rPr>
        <w:t xml:space="preserve"> consumers emerging as the most committed generation to date. However, there remains a general lack of research on how Millennials</w:t>
      </w:r>
      <w:r>
        <w:rPr>
          <w:rFonts w:cs="Times New Roman"/>
          <w:color w:val="000000"/>
        </w:rPr>
        <w:t xml:space="preserve"> </w:t>
      </w:r>
      <w:r w:rsidRPr="00031DAD">
        <w:rPr>
          <w:rFonts w:cs="Times New Roman"/>
          <w:color w:val="000000"/>
        </w:rPr>
        <w:t xml:space="preserve">respond to and engage with green marketing. According to a 2014 </w:t>
      </w:r>
      <w:proofErr w:type="spellStart"/>
      <w:r w:rsidRPr="00031DAD">
        <w:rPr>
          <w:rFonts w:cs="Times New Roman"/>
          <w:color w:val="000000"/>
        </w:rPr>
        <w:t>Tork</w:t>
      </w:r>
      <w:proofErr w:type="spellEnd"/>
      <w:r w:rsidRPr="00031DAD">
        <w:rPr>
          <w:rFonts w:cs="Times New Roman"/>
          <w:color w:val="000000"/>
        </w:rPr>
        <w:t xml:space="preserve"> survey of 2,000 U.S. adults, Millennials continue to represent the core support of green products and services, and are even willing to pay more fo</w:t>
      </w:r>
      <w:r>
        <w:rPr>
          <w:rFonts w:cs="Times New Roman"/>
          <w:color w:val="000000"/>
        </w:rPr>
        <w:t>r green products (</w:t>
      </w:r>
      <w:proofErr w:type="spellStart"/>
      <w:r>
        <w:rPr>
          <w:rFonts w:cs="Times New Roman"/>
          <w:color w:val="000000"/>
        </w:rPr>
        <w:t>Tork</w:t>
      </w:r>
      <w:proofErr w:type="spellEnd"/>
      <w:r>
        <w:rPr>
          <w:rFonts w:cs="Times New Roman"/>
          <w:color w:val="000000"/>
        </w:rPr>
        <w:t>, 2014).</w:t>
      </w:r>
      <w:r w:rsidRPr="00031DAD">
        <w:rPr>
          <w:rFonts w:cs="Times New Roman"/>
          <w:color w:val="000000"/>
        </w:rPr>
        <w:t xml:space="preserve"> Millennials represent a growing $54.3 billion opportunity, constituting a profitable market opportunity that businesses should not overlook (McKay, 2010). As such, enterprises must reorient marketing strategies to be more in tune with this generation’s demands by successfully communicating “green” messages.</w:t>
      </w:r>
    </w:p>
    <w:p w14:paraId="01006BA7" w14:textId="5E714F11" w:rsidR="00BF55B2" w:rsidRDefault="00BF55B2" w:rsidP="006A686D">
      <w:pPr>
        <w:spacing w:line="480" w:lineRule="auto"/>
        <w:ind w:firstLine="720"/>
        <w:rPr>
          <w:rFonts w:cs="Times New Roman"/>
          <w:color w:val="000000"/>
        </w:rPr>
      </w:pPr>
    </w:p>
    <w:p w14:paraId="6D458280" w14:textId="7AE94EB3" w:rsidR="006A686D" w:rsidRDefault="00BF55B2" w:rsidP="002A7B8F">
      <w:pPr>
        <w:rPr>
          <w:b/>
        </w:rPr>
      </w:pPr>
      <w:r>
        <w:rPr>
          <w:rFonts w:cs="Times New Roman"/>
          <w:color w:val="000000"/>
        </w:rPr>
        <w:br w:type="page"/>
      </w:r>
      <w:r w:rsidR="00B93167">
        <w:rPr>
          <w:b/>
        </w:rPr>
        <w:t>METHODS</w:t>
      </w:r>
    </w:p>
    <w:p w14:paraId="637D2256" w14:textId="77777777" w:rsidR="002A7B8F" w:rsidRPr="002A7B8F" w:rsidRDefault="002A7B8F" w:rsidP="002A7B8F">
      <w:pPr>
        <w:rPr>
          <w:rFonts w:cs="Times New Roman"/>
          <w:color w:val="000000"/>
        </w:rPr>
      </w:pPr>
    </w:p>
    <w:p w14:paraId="36378D1C" w14:textId="77777777" w:rsidR="00B93167" w:rsidRPr="00031DAD" w:rsidRDefault="00B93167" w:rsidP="00DD3E1F">
      <w:pPr>
        <w:spacing w:line="480" w:lineRule="auto"/>
        <w:ind w:firstLine="720"/>
        <w:rPr>
          <w:rFonts w:ascii="Times" w:hAnsi="Times" w:cs="Times New Roman"/>
          <w:sz w:val="20"/>
          <w:szCs w:val="20"/>
        </w:rPr>
      </w:pPr>
      <w:r w:rsidRPr="00031DAD">
        <w:rPr>
          <w:rFonts w:cs="Times New Roman"/>
          <w:color w:val="000000"/>
        </w:rPr>
        <w:t>We used three different research methods to effectively triangulate the information we needed to answer our research questions. Our primary mode of data collection was through an electronic survey, designed to gain insight about the importance of environmental considerations in Millennials’ purchasing decisions and their perceptions of environmental consciousne</w:t>
      </w:r>
      <w:r>
        <w:rPr>
          <w:rFonts w:cs="Times New Roman"/>
          <w:color w:val="000000"/>
        </w:rPr>
        <w:t>ss and awareness of green label</w:t>
      </w:r>
      <w:r w:rsidRPr="00031DAD">
        <w:rPr>
          <w:rFonts w:cs="Times New Roman"/>
          <w:color w:val="000000"/>
        </w:rPr>
        <w:t>ing in the marketplace. Our second method was an experiment designed to</w:t>
      </w:r>
      <w:r>
        <w:rPr>
          <w:rFonts w:cs="Times New Roman"/>
          <w:color w:val="000000"/>
        </w:rPr>
        <w:t xml:space="preserve"> test the effects of green labe</w:t>
      </w:r>
      <w:r w:rsidRPr="00031DAD">
        <w:rPr>
          <w:rFonts w:cs="Times New Roman"/>
          <w:color w:val="000000"/>
        </w:rPr>
        <w:t>ling on Millennials’ purchasing decisions in the absence of other market considerations identified as important, such as price and quality. Finally, we conducted a focus group to add qualitative information to the conclusions drawn from our qualitative data.</w:t>
      </w:r>
    </w:p>
    <w:p w14:paraId="529B1A14" w14:textId="77777777" w:rsidR="002A7B8F" w:rsidRDefault="002A7B8F" w:rsidP="00B93167">
      <w:pPr>
        <w:spacing w:line="480" w:lineRule="auto"/>
        <w:rPr>
          <w:rFonts w:cs="Times New Roman"/>
          <w:i/>
          <w:iCs/>
          <w:color w:val="000000"/>
        </w:rPr>
      </w:pPr>
    </w:p>
    <w:p w14:paraId="7DC3CB43" w14:textId="5B59B443" w:rsidR="00B93167" w:rsidRPr="002A7B8F" w:rsidRDefault="00B93167" w:rsidP="00B93167">
      <w:pPr>
        <w:spacing w:line="480" w:lineRule="auto"/>
        <w:rPr>
          <w:rFonts w:cs="Times New Roman"/>
          <w:i/>
          <w:iCs/>
          <w:color w:val="000000"/>
        </w:rPr>
      </w:pPr>
      <w:r w:rsidRPr="002A7B8F">
        <w:rPr>
          <w:rFonts w:cs="Times New Roman"/>
          <w:i/>
          <w:iCs/>
          <w:color w:val="000000"/>
        </w:rPr>
        <w:t>Survey</w:t>
      </w:r>
    </w:p>
    <w:p w14:paraId="7D739188" w14:textId="18F7995B" w:rsidR="00B93167" w:rsidRDefault="00B93167" w:rsidP="00B93167">
      <w:pPr>
        <w:spacing w:line="480" w:lineRule="auto"/>
        <w:ind w:firstLine="720"/>
        <w:rPr>
          <w:rFonts w:cs="Times New Roman"/>
          <w:color w:val="000000"/>
        </w:rPr>
      </w:pPr>
      <w:r w:rsidRPr="00031DAD">
        <w:rPr>
          <w:rFonts w:cs="Times New Roman"/>
          <w:color w:val="000000"/>
        </w:rPr>
        <w:t>A survey was distributed nationwide among consumers</w:t>
      </w:r>
      <w:r w:rsidR="00F22564">
        <w:rPr>
          <w:rFonts w:cs="Times New Roman"/>
          <w:color w:val="000000"/>
        </w:rPr>
        <w:t xml:space="preserve"> identified as Millennials, ages</w:t>
      </w:r>
      <w:r w:rsidRPr="00031DAD">
        <w:rPr>
          <w:rFonts w:cs="Times New Roman"/>
          <w:color w:val="000000"/>
        </w:rPr>
        <w:t xml:space="preserve"> 18-24, to gather information regarding</w:t>
      </w:r>
      <w:r w:rsidR="00F22564">
        <w:rPr>
          <w:rFonts w:cs="Times New Roman"/>
          <w:color w:val="000000"/>
        </w:rPr>
        <w:t xml:space="preserve"> individual</w:t>
      </w:r>
      <w:r w:rsidRPr="00031DAD">
        <w:rPr>
          <w:rFonts w:cs="Times New Roman"/>
          <w:color w:val="000000"/>
        </w:rPr>
        <w:t xml:space="preserve"> environmental consciousness and awareness</w:t>
      </w:r>
      <w:r w:rsidR="00090088">
        <w:rPr>
          <w:rFonts w:cs="Times New Roman"/>
          <w:color w:val="000000"/>
        </w:rPr>
        <w:t xml:space="preserve">, </w:t>
      </w:r>
      <w:r w:rsidR="002F798C">
        <w:rPr>
          <w:rFonts w:cs="Times New Roman"/>
          <w:color w:val="000000"/>
        </w:rPr>
        <w:t>how these values are</w:t>
      </w:r>
      <w:r w:rsidRPr="00031DAD">
        <w:rPr>
          <w:rFonts w:cs="Times New Roman"/>
          <w:color w:val="000000"/>
        </w:rPr>
        <w:t xml:space="preserve"> reflected in purchasing behavior</w:t>
      </w:r>
      <w:r w:rsidR="00090088">
        <w:rPr>
          <w:rFonts w:cs="Times New Roman"/>
          <w:color w:val="000000"/>
        </w:rPr>
        <w:t>,</w:t>
      </w:r>
      <w:r w:rsidRPr="00031DAD">
        <w:rPr>
          <w:rFonts w:cs="Times New Roman"/>
          <w:color w:val="000000"/>
        </w:rPr>
        <w:t xml:space="preserve"> and the</w:t>
      </w:r>
      <w:r w:rsidR="001D7FE6">
        <w:rPr>
          <w:rFonts w:cs="Times New Roman"/>
          <w:color w:val="000000"/>
        </w:rPr>
        <w:t xml:space="preserve"> overall</w:t>
      </w:r>
      <w:r w:rsidRPr="00031DAD">
        <w:rPr>
          <w:rFonts w:cs="Times New Roman"/>
          <w:color w:val="000000"/>
        </w:rPr>
        <w:t xml:space="preserve"> effects of green marketing strategies</w:t>
      </w:r>
      <w:r w:rsidR="002F798C">
        <w:rPr>
          <w:rFonts w:cs="Times New Roman"/>
          <w:color w:val="000000"/>
        </w:rPr>
        <w:t xml:space="preserve"> on </w:t>
      </w:r>
      <w:r w:rsidR="006F0002" w:rsidRPr="00C46DC1">
        <w:rPr>
          <w:rFonts w:cs="Times New Roman"/>
        </w:rPr>
        <w:t>purchasing behavior</w:t>
      </w:r>
      <w:r w:rsidR="00215B09" w:rsidRPr="00C46DC1">
        <w:rPr>
          <w:rFonts w:cs="Times New Roman"/>
        </w:rPr>
        <w:t xml:space="preserve">s </w:t>
      </w:r>
      <w:r w:rsidR="001D7FE6" w:rsidRPr="00C46DC1">
        <w:rPr>
          <w:rFonts w:cs="Times New Roman"/>
        </w:rPr>
        <w:t xml:space="preserve">and </w:t>
      </w:r>
      <w:r w:rsidR="00215B09" w:rsidRPr="00C46DC1">
        <w:rPr>
          <w:rFonts w:cs="Times New Roman"/>
        </w:rPr>
        <w:t xml:space="preserve">general </w:t>
      </w:r>
      <w:r w:rsidR="001D7FE6" w:rsidRPr="00C46DC1">
        <w:rPr>
          <w:rFonts w:cs="Times New Roman"/>
        </w:rPr>
        <w:t>environmental consciousness</w:t>
      </w:r>
      <w:r w:rsidRPr="00C46DC1">
        <w:rPr>
          <w:rFonts w:cs="Times New Roman"/>
        </w:rPr>
        <w:t>.</w:t>
      </w:r>
      <w:r w:rsidRPr="00031DAD">
        <w:rPr>
          <w:rFonts w:cs="Times New Roman"/>
          <w:color w:val="000000"/>
        </w:rPr>
        <w:t xml:space="preserve"> The survey was distributed throughout the month of March 2015. The total number of respondents </w:t>
      </w:r>
      <w:r w:rsidR="00E77DB6">
        <w:rPr>
          <w:rFonts w:cs="Times New Roman"/>
          <w:color w:val="000000"/>
        </w:rPr>
        <w:t xml:space="preserve">was </w:t>
      </w:r>
      <w:r w:rsidRPr="00031DAD">
        <w:rPr>
          <w:rFonts w:cs="Times New Roman"/>
          <w:color w:val="000000"/>
        </w:rPr>
        <w:t>279, consisting of 93 (33.3%) males and 186 (66.7%) females. Participants reside</w:t>
      </w:r>
      <w:r>
        <w:rPr>
          <w:rFonts w:cs="Times New Roman"/>
          <w:color w:val="000000"/>
        </w:rPr>
        <w:t>d</w:t>
      </w:r>
      <w:r w:rsidRPr="00031DAD">
        <w:rPr>
          <w:rFonts w:cs="Times New Roman"/>
          <w:color w:val="000000"/>
        </w:rPr>
        <w:t xml:space="preserve"> in 212 different postal zip codes, representing </w:t>
      </w:r>
      <w:r>
        <w:rPr>
          <w:rFonts w:cs="Times New Roman"/>
          <w:color w:val="000000"/>
        </w:rPr>
        <w:t>25 states across the country</w:t>
      </w:r>
      <w:r w:rsidRPr="00031DAD">
        <w:rPr>
          <w:rFonts w:cs="Times New Roman"/>
          <w:color w:val="000000"/>
        </w:rPr>
        <w:t xml:space="preserve">. </w:t>
      </w:r>
    </w:p>
    <w:p w14:paraId="1B654FF9" w14:textId="616BB2A9" w:rsidR="00B93167" w:rsidRDefault="00B93167" w:rsidP="00B93167">
      <w:pPr>
        <w:spacing w:line="480" w:lineRule="auto"/>
        <w:ind w:firstLine="720"/>
        <w:rPr>
          <w:rFonts w:cs="Times New Roman"/>
          <w:color w:val="000000"/>
        </w:rPr>
      </w:pPr>
      <w:r w:rsidRPr="00031DAD">
        <w:rPr>
          <w:rFonts w:cs="Times New Roman"/>
          <w:color w:val="000000"/>
        </w:rPr>
        <w:t xml:space="preserve">The survey itself was </w:t>
      </w:r>
      <w:r w:rsidR="00F60258">
        <w:rPr>
          <w:rFonts w:cs="Times New Roman"/>
          <w:color w:val="000000"/>
        </w:rPr>
        <w:t>created</w:t>
      </w:r>
      <w:r w:rsidRPr="00031DAD">
        <w:rPr>
          <w:rFonts w:cs="Times New Roman"/>
          <w:color w:val="000000"/>
        </w:rPr>
        <w:t xml:space="preserve"> and released </w:t>
      </w:r>
      <w:r w:rsidR="00F60258">
        <w:rPr>
          <w:rFonts w:cs="Times New Roman"/>
          <w:color w:val="000000"/>
        </w:rPr>
        <w:t>using</w:t>
      </w:r>
      <w:r w:rsidRPr="00031DAD">
        <w:rPr>
          <w:rFonts w:cs="Times New Roman"/>
          <w:color w:val="000000"/>
        </w:rPr>
        <w:t xml:space="preserve"> </w:t>
      </w:r>
      <w:proofErr w:type="spellStart"/>
      <w:r w:rsidRPr="00031DAD">
        <w:rPr>
          <w:rFonts w:cs="Times New Roman"/>
          <w:color w:val="000000"/>
        </w:rPr>
        <w:t>Qualtrics</w:t>
      </w:r>
      <w:proofErr w:type="spellEnd"/>
      <w:r w:rsidRPr="00031DAD">
        <w:rPr>
          <w:rFonts w:cs="Times New Roman"/>
          <w:color w:val="000000"/>
        </w:rPr>
        <w:t xml:space="preserve"> </w:t>
      </w:r>
      <w:r w:rsidR="00F60258">
        <w:rPr>
          <w:rFonts w:cs="Times New Roman"/>
          <w:color w:val="000000"/>
        </w:rPr>
        <w:t>Online Survey and Insight Engine. We then</w:t>
      </w:r>
      <w:r w:rsidRPr="00031DAD">
        <w:rPr>
          <w:rFonts w:cs="Times New Roman"/>
          <w:color w:val="000000"/>
        </w:rPr>
        <w:t xml:space="preserve"> distributed</w:t>
      </w:r>
      <w:r w:rsidR="00F60258">
        <w:rPr>
          <w:rFonts w:cs="Times New Roman"/>
          <w:color w:val="000000"/>
        </w:rPr>
        <w:t xml:space="preserve"> the survey</w:t>
      </w:r>
      <w:r w:rsidRPr="00031DAD">
        <w:rPr>
          <w:rFonts w:cs="Times New Roman"/>
          <w:color w:val="000000"/>
        </w:rPr>
        <w:t xml:space="preserve"> via email and various social media platforms</w:t>
      </w:r>
      <w:r w:rsidR="00FE2B9F">
        <w:rPr>
          <w:rFonts w:cs="Times New Roman"/>
          <w:color w:val="000000"/>
        </w:rPr>
        <w:t xml:space="preserve"> to</w:t>
      </w:r>
      <w:r w:rsidR="00772F6F">
        <w:rPr>
          <w:rFonts w:cs="Times New Roman"/>
          <w:color w:val="000000"/>
        </w:rPr>
        <w:t xml:space="preserve"> </w:t>
      </w:r>
      <w:r w:rsidR="00C92DC7">
        <w:rPr>
          <w:rFonts w:cs="Times New Roman"/>
          <w:color w:val="000000"/>
        </w:rPr>
        <w:t>ensure we reached the widest sample population possible</w:t>
      </w:r>
      <w:r w:rsidRPr="00031DAD">
        <w:rPr>
          <w:rFonts w:cs="Times New Roman"/>
          <w:color w:val="000000"/>
        </w:rPr>
        <w:t xml:space="preserve">. </w:t>
      </w:r>
      <w:r w:rsidR="00C92DC7">
        <w:rPr>
          <w:rFonts w:cs="Times New Roman"/>
          <w:color w:val="000000"/>
        </w:rPr>
        <w:t>Participation relied upon self-selection, giving us a simple random sampling</w:t>
      </w:r>
      <w:r w:rsidRPr="00031DAD">
        <w:rPr>
          <w:rFonts w:cs="Times New Roman"/>
          <w:color w:val="000000"/>
        </w:rPr>
        <w:t xml:space="preserve"> of both males and females. </w:t>
      </w:r>
    </w:p>
    <w:p w14:paraId="7547EF22" w14:textId="77777777" w:rsidR="00030DC8" w:rsidRDefault="00030DC8" w:rsidP="00030DC8">
      <w:pPr>
        <w:spacing w:line="480" w:lineRule="auto"/>
        <w:rPr>
          <w:rFonts w:cs="Times New Roman"/>
          <w:color w:val="000000"/>
        </w:rPr>
      </w:pPr>
    </w:p>
    <w:p w14:paraId="63ADD539" w14:textId="1ED9DEE0" w:rsidR="00030DC8" w:rsidRDefault="00030DC8" w:rsidP="00030DC8">
      <w:pPr>
        <w:spacing w:line="480" w:lineRule="auto"/>
        <w:rPr>
          <w:rFonts w:cs="Times New Roman"/>
          <w:color w:val="000000"/>
        </w:rPr>
      </w:pPr>
      <w:r>
        <w:rPr>
          <w:rFonts w:cs="Times New Roman"/>
          <w:i/>
          <w:color w:val="000000"/>
        </w:rPr>
        <w:t>Unique Approach</w:t>
      </w:r>
    </w:p>
    <w:p w14:paraId="57F7958F" w14:textId="77777777" w:rsidR="006A33CD" w:rsidRDefault="00030DC8" w:rsidP="00030DC8">
      <w:pPr>
        <w:spacing w:line="480" w:lineRule="auto"/>
        <w:rPr>
          <w:rFonts w:cs="Times New Roman"/>
          <w:color w:val="000000"/>
        </w:rPr>
      </w:pPr>
      <w:r>
        <w:rPr>
          <w:rFonts w:cs="Times New Roman"/>
          <w:color w:val="000000"/>
        </w:rPr>
        <w:tab/>
        <w:t>There is a wide debate within the literature over whether or not Millennials are in fact the “greenest” generation. Proponents of this argument cite Millennials’ increased awareness of current environmental issues as well as their willingness and tendency to make environmentally responsible consumer decisions to achieve social goals. Opponents, however, argue that these values are not mirrored in Millennials’ actual pur</w:t>
      </w:r>
      <w:r w:rsidR="006A33CD">
        <w:rPr>
          <w:rFonts w:cs="Times New Roman"/>
          <w:color w:val="000000"/>
        </w:rPr>
        <w:t xml:space="preserve">chasing behaviors. This discrepancy stems from the different research methods used in the literature; positive associations between Millennials and green consumerism are primarily found in research utilizing surveys that ask participants to evaluate their own levels of environmental commitment, while research challenging these findings tended to be based on observational or experimental data of Millennials’ consumptive habits. </w:t>
      </w:r>
    </w:p>
    <w:p w14:paraId="2747F1D2" w14:textId="6DC2F08D" w:rsidR="00030DC8" w:rsidRDefault="006A33CD" w:rsidP="006A33CD">
      <w:pPr>
        <w:spacing w:line="480" w:lineRule="auto"/>
        <w:ind w:firstLine="720"/>
        <w:rPr>
          <w:rFonts w:cs="Times New Roman"/>
        </w:rPr>
      </w:pPr>
      <w:r>
        <w:rPr>
          <w:rFonts w:cs="Times New Roman"/>
          <w:color w:val="000000"/>
        </w:rPr>
        <w:t xml:space="preserve">Our survey was designed to address this current inconsistency by measuring the degree to which Millennials’ self-identified environmental attitudes were reflected in their purchasing behaviors. To do so, we created a survey unique from those used in past studies in two important ways. First, we presented the survey as a study on product marketing and brand association, instead of acknowledging the environmental focus outright. </w:t>
      </w:r>
      <w:r w:rsidR="00803CFC">
        <w:rPr>
          <w:rFonts w:cs="Times New Roman"/>
        </w:rPr>
        <w:t xml:space="preserve">We supplemented questions </w:t>
      </w:r>
      <w:r w:rsidR="00DA5D3A">
        <w:rPr>
          <w:rFonts w:cs="Times New Roman"/>
        </w:rPr>
        <w:t>targeting environmental inquiries with “filler” questions</w:t>
      </w:r>
      <w:r w:rsidR="00DA5D3A">
        <w:rPr>
          <w:rStyle w:val="FootnoteReference"/>
          <w:rFonts w:cs="Times New Roman"/>
        </w:rPr>
        <w:footnoteReference w:id="1"/>
      </w:r>
      <w:r w:rsidR="00DA5D3A">
        <w:rPr>
          <w:rFonts w:cs="Times New Roman"/>
        </w:rPr>
        <w:t xml:space="preserve"> unrelated to our research questions to further obscure the main purpose of the study. The use of filler questions helped us to avoid </w:t>
      </w:r>
      <w:r w:rsidR="00376559">
        <w:rPr>
          <w:rFonts w:cs="Times New Roman"/>
        </w:rPr>
        <w:t xml:space="preserve">associative </w:t>
      </w:r>
      <w:r w:rsidR="00DA5D3A">
        <w:rPr>
          <w:rFonts w:cs="Times New Roman"/>
        </w:rPr>
        <w:t>priming, thereby leading respondents to answer based on what they perceived was expected of them instead</w:t>
      </w:r>
      <w:r w:rsidR="00565C9F">
        <w:rPr>
          <w:rFonts w:cs="Times New Roman"/>
        </w:rPr>
        <w:t>, creating a confirmation bias.</w:t>
      </w:r>
    </w:p>
    <w:p w14:paraId="02F911DE" w14:textId="2112FE0A" w:rsidR="00622B5E" w:rsidRPr="00525874" w:rsidRDefault="00565C9F" w:rsidP="00D868F8">
      <w:pPr>
        <w:spacing w:line="480" w:lineRule="auto"/>
        <w:ind w:firstLine="720"/>
        <w:rPr>
          <w:rFonts w:cs="Times New Roman"/>
        </w:rPr>
      </w:pPr>
      <w:r>
        <w:rPr>
          <w:rFonts w:cs="Times New Roman"/>
        </w:rPr>
        <w:t>Second, our survey is differentiated by its formatting. To more closely replicate the actual shopping experience, we used a combination of text-based and image-based questions</w:t>
      </w:r>
      <w:r>
        <w:rPr>
          <w:rStyle w:val="FootnoteReference"/>
          <w:rFonts w:cs="Times New Roman"/>
        </w:rPr>
        <w:footnoteReference w:id="2"/>
      </w:r>
      <w:r>
        <w:rPr>
          <w:rFonts w:cs="Times New Roman"/>
        </w:rPr>
        <w:t xml:space="preserve">. By offering visual cues we aimed to more accurately represent the types of market-based purchasing decisions consumers face in real life. This technique allowed us to more effectively gauge which marketing strategies were the most compelling, and offered insight as to marketing incentives driving consumer behavior. </w:t>
      </w:r>
      <w:r w:rsidR="007B7D35">
        <w:rPr>
          <w:rFonts w:cs="Times New Roman"/>
        </w:rPr>
        <w:t>Previous studies have relied solely upon textual questions to</w:t>
      </w:r>
      <w:r w:rsidR="00E1094A">
        <w:rPr>
          <w:rFonts w:cs="Times New Roman"/>
        </w:rPr>
        <w:t xml:space="preserve"> assess the influences of different marketing techniques</w:t>
      </w:r>
      <w:r w:rsidR="00054544">
        <w:rPr>
          <w:rFonts w:cs="Times New Roman"/>
        </w:rPr>
        <w:t xml:space="preserve"> on purchasing behavior. </w:t>
      </w:r>
      <w:r w:rsidR="001F6642">
        <w:rPr>
          <w:rFonts w:cs="Times New Roman"/>
        </w:rPr>
        <w:t xml:space="preserve">A 2009 survey designed by Katherine Smith relied on this method to examine what specific marketing techniques were most effective in communicating a product or brand’s level of environmental commitment (Smith, 2009). She found that the most influential factors on consumer perceptions were the </w:t>
      </w:r>
      <w:r w:rsidR="001F6642" w:rsidRPr="00525874">
        <w:rPr>
          <w:rFonts w:cs="Times New Roman"/>
        </w:rPr>
        <w:t xml:space="preserve">company’s environmental reputation, as well as their targeted advertising schemes (Smith, 2009). </w:t>
      </w:r>
      <w:r w:rsidR="00E56138" w:rsidRPr="00525874">
        <w:rPr>
          <w:rFonts w:cs="Times New Roman"/>
        </w:rPr>
        <w:t>The survey used an image-based format, derivative of standard text-based questions, in order to better replicate how consumers behave in actual purchasing scenarios.</w:t>
      </w:r>
    </w:p>
    <w:p w14:paraId="17581DA7" w14:textId="77777777" w:rsidR="00D868F8" w:rsidRPr="00D868F8" w:rsidRDefault="00D868F8" w:rsidP="00D868F8">
      <w:pPr>
        <w:spacing w:line="480" w:lineRule="auto"/>
        <w:ind w:firstLine="720"/>
        <w:rPr>
          <w:rFonts w:cs="Times New Roman"/>
        </w:rPr>
      </w:pPr>
    </w:p>
    <w:p w14:paraId="2B91339F" w14:textId="7C762995" w:rsidR="00B93167" w:rsidRPr="00622B5E" w:rsidRDefault="00B93167" w:rsidP="00B93167">
      <w:pPr>
        <w:spacing w:line="480" w:lineRule="auto"/>
        <w:rPr>
          <w:rFonts w:ascii="Times" w:hAnsi="Times" w:cs="Times New Roman"/>
          <w:i/>
        </w:rPr>
      </w:pPr>
      <w:r w:rsidRPr="00622B5E">
        <w:rPr>
          <w:rFonts w:ascii="Times" w:hAnsi="Times" w:cs="Times New Roman"/>
          <w:i/>
        </w:rPr>
        <w:t>Social Experiment</w:t>
      </w:r>
    </w:p>
    <w:p w14:paraId="39D351E9" w14:textId="200A113E" w:rsidR="00FB0596" w:rsidRDefault="006F62E1" w:rsidP="002930AB">
      <w:pPr>
        <w:spacing w:line="480" w:lineRule="auto"/>
        <w:ind w:firstLine="720"/>
        <w:rPr>
          <w:rFonts w:cs="Times New Roman"/>
          <w:color w:val="000000"/>
        </w:rPr>
      </w:pPr>
      <w:r>
        <w:rPr>
          <w:rFonts w:cs="Times New Roman"/>
          <w:color w:val="000000"/>
        </w:rPr>
        <w:t>A two-phase</w:t>
      </w:r>
      <w:r w:rsidR="00B93167" w:rsidRPr="00031DAD">
        <w:rPr>
          <w:rFonts w:cs="Times New Roman"/>
          <w:color w:val="000000"/>
        </w:rPr>
        <w:t xml:space="preserve"> social experiment was conducted to </w:t>
      </w:r>
      <w:r w:rsidR="00FB0596">
        <w:rPr>
          <w:rFonts w:cs="Times New Roman"/>
          <w:color w:val="000000"/>
        </w:rPr>
        <w:t>test two hypotheses:</w:t>
      </w:r>
      <w:r w:rsidR="00B93167" w:rsidRPr="00031DAD">
        <w:rPr>
          <w:rFonts w:cs="Times New Roman"/>
          <w:color w:val="000000"/>
        </w:rPr>
        <w:t xml:space="preserve"> </w:t>
      </w:r>
    </w:p>
    <w:p w14:paraId="68ED8EE0" w14:textId="19EE9A69" w:rsidR="00FB0596" w:rsidRDefault="00FB0596" w:rsidP="00445DB7">
      <w:pPr>
        <w:ind w:left="720"/>
        <w:rPr>
          <w:rFonts w:cs="Times New Roman"/>
          <w:i/>
          <w:color w:val="000000"/>
        </w:rPr>
      </w:pPr>
      <w:r>
        <w:rPr>
          <w:rFonts w:cs="Times New Roman"/>
          <w:i/>
          <w:color w:val="000000"/>
        </w:rPr>
        <w:t>H1:</w:t>
      </w:r>
      <w:r w:rsidR="00534E0E">
        <w:rPr>
          <w:rFonts w:cs="Times New Roman"/>
          <w:i/>
          <w:color w:val="000000"/>
        </w:rPr>
        <w:t xml:space="preserve"> The use of product labeling changes purchasing behaviors.</w:t>
      </w:r>
    </w:p>
    <w:p w14:paraId="432FC03C" w14:textId="71A67519" w:rsidR="00534E0E" w:rsidRDefault="00534E0E" w:rsidP="00445DB7">
      <w:pPr>
        <w:ind w:left="720"/>
        <w:rPr>
          <w:rFonts w:cs="Times New Roman"/>
          <w:i/>
          <w:color w:val="000000"/>
        </w:rPr>
      </w:pPr>
      <w:r>
        <w:rPr>
          <w:rFonts w:cs="Times New Roman"/>
          <w:i/>
          <w:color w:val="000000"/>
        </w:rPr>
        <w:t>H2: Environmental marketing and product labeling influence Millennials to purchase eco-friendly products</w:t>
      </w:r>
    </w:p>
    <w:p w14:paraId="0B9BAD4A" w14:textId="77777777" w:rsidR="00445DB7" w:rsidRPr="00FB0596" w:rsidRDefault="00445DB7" w:rsidP="00445DB7">
      <w:pPr>
        <w:ind w:left="720"/>
        <w:rPr>
          <w:rFonts w:cs="Times New Roman"/>
          <w:i/>
          <w:color w:val="000000"/>
        </w:rPr>
      </w:pPr>
    </w:p>
    <w:p w14:paraId="7ADB0751" w14:textId="4E568F14" w:rsidR="00D965DF" w:rsidRDefault="006F62E1" w:rsidP="002930AB">
      <w:pPr>
        <w:spacing w:line="480" w:lineRule="auto"/>
        <w:ind w:firstLine="720"/>
        <w:rPr>
          <w:rFonts w:cs="Times New Roman"/>
          <w:color w:val="000000"/>
        </w:rPr>
      </w:pPr>
      <w:r>
        <w:rPr>
          <w:rFonts w:cs="Times New Roman"/>
          <w:color w:val="000000"/>
        </w:rPr>
        <w:t xml:space="preserve">We conducted the experiment at two different sites, Skidmore College and SUNY Albany, to reach a more representative sample population of Millennials in the United States. </w:t>
      </w:r>
      <w:r w:rsidR="00B93167" w:rsidRPr="00031DAD">
        <w:rPr>
          <w:rFonts w:cs="Times New Roman"/>
          <w:color w:val="000000"/>
        </w:rPr>
        <w:t xml:space="preserve">Our participants </w:t>
      </w:r>
      <w:r w:rsidR="00D547C7">
        <w:rPr>
          <w:rFonts w:cs="Times New Roman"/>
          <w:color w:val="000000"/>
        </w:rPr>
        <w:t xml:space="preserve">were randomly chosen using self-selection, and </w:t>
      </w:r>
      <w:r w:rsidR="00B93167" w:rsidRPr="00031DAD">
        <w:rPr>
          <w:rFonts w:cs="Times New Roman"/>
          <w:color w:val="000000"/>
        </w:rPr>
        <w:t xml:space="preserve">consisted of a combination of Skidmore College students and SUNY Albany students. </w:t>
      </w:r>
      <w:r w:rsidR="000865CE">
        <w:rPr>
          <w:rFonts w:cs="Times New Roman"/>
          <w:color w:val="000000"/>
        </w:rPr>
        <w:t>Each phase had a sample population of 75 participants.</w:t>
      </w:r>
    </w:p>
    <w:p w14:paraId="48A07669" w14:textId="77777777" w:rsidR="005F7E08" w:rsidRPr="00525874" w:rsidRDefault="00B93167" w:rsidP="002930AB">
      <w:pPr>
        <w:spacing w:line="480" w:lineRule="auto"/>
        <w:ind w:firstLine="720"/>
        <w:rPr>
          <w:rFonts w:cs="Times New Roman"/>
        </w:rPr>
      </w:pPr>
      <w:r w:rsidRPr="00031DAD">
        <w:rPr>
          <w:rFonts w:cs="Times New Roman"/>
          <w:color w:val="000000"/>
        </w:rPr>
        <w:t xml:space="preserve">The first </w:t>
      </w:r>
      <w:r w:rsidR="005F7E08">
        <w:rPr>
          <w:rFonts w:cs="Times New Roman"/>
          <w:color w:val="000000"/>
        </w:rPr>
        <w:t xml:space="preserve">trial </w:t>
      </w:r>
      <w:r w:rsidR="0079204F">
        <w:rPr>
          <w:rFonts w:cs="Times New Roman"/>
          <w:color w:val="000000"/>
        </w:rPr>
        <w:t>phase</w:t>
      </w:r>
      <w:r w:rsidRPr="00031DAD">
        <w:rPr>
          <w:rFonts w:cs="Times New Roman"/>
          <w:color w:val="000000"/>
        </w:rPr>
        <w:t xml:space="preserve"> </w:t>
      </w:r>
      <w:r w:rsidR="0079204F">
        <w:rPr>
          <w:rFonts w:cs="Times New Roman"/>
          <w:color w:val="000000"/>
        </w:rPr>
        <w:t>served as a control trial:</w:t>
      </w:r>
      <w:r w:rsidRPr="00031DAD">
        <w:rPr>
          <w:rFonts w:cs="Times New Roman"/>
          <w:color w:val="000000"/>
        </w:rPr>
        <w:t xml:space="preserve"> </w:t>
      </w:r>
      <w:r w:rsidR="0079204F">
        <w:rPr>
          <w:rFonts w:cs="Times New Roman"/>
          <w:color w:val="000000"/>
        </w:rPr>
        <w:t>participants</w:t>
      </w:r>
      <w:r w:rsidRPr="00031DAD">
        <w:rPr>
          <w:rFonts w:cs="Times New Roman"/>
          <w:color w:val="000000"/>
        </w:rPr>
        <w:t xml:space="preserve"> were offered to choose between thre</w:t>
      </w:r>
      <w:r w:rsidR="0079204F">
        <w:rPr>
          <w:rFonts w:cs="Times New Roman"/>
          <w:color w:val="000000"/>
        </w:rPr>
        <w:t>e different types of chocolate</w:t>
      </w:r>
      <w:r w:rsidRPr="00031DAD">
        <w:rPr>
          <w:rFonts w:cs="Times New Roman"/>
          <w:color w:val="000000"/>
        </w:rPr>
        <w:t xml:space="preserve"> </w:t>
      </w:r>
      <w:r w:rsidR="0079204F">
        <w:rPr>
          <w:rFonts w:cs="Times New Roman"/>
          <w:color w:val="000000"/>
        </w:rPr>
        <w:t>(</w:t>
      </w:r>
      <w:r w:rsidRPr="00031DAD">
        <w:rPr>
          <w:rFonts w:cs="Times New Roman"/>
          <w:color w:val="000000"/>
        </w:rPr>
        <w:t>Hershey’s Kiss</w:t>
      </w:r>
      <w:r w:rsidR="0079204F">
        <w:rPr>
          <w:rFonts w:cs="Times New Roman"/>
          <w:color w:val="000000"/>
        </w:rPr>
        <w:t xml:space="preserve">es, </w:t>
      </w:r>
      <w:proofErr w:type="spellStart"/>
      <w:r w:rsidR="0079204F">
        <w:rPr>
          <w:rFonts w:cs="Times New Roman"/>
          <w:color w:val="000000"/>
        </w:rPr>
        <w:t>Lindt</w:t>
      </w:r>
      <w:proofErr w:type="spellEnd"/>
      <w:r w:rsidR="0079204F">
        <w:rPr>
          <w:rFonts w:cs="Times New Roman"/>
          <w:color w:val="000000"/>
        </w:rPr>
        <w:t xml:space="preserve"> and Equal Exchange)</w:t>
      </w:r>
      <w:r w:rsidRPr="00031DAD">
        <w:rPr>
          <w:rFonts w:cs="Times New Roman"/>
          <w:color w:val="000000"/>
        </w:rPr>
        <w:t xml:space="preserve"> without the influence of </w:t>
      </w:r>
      <w:r w:rsidR="005F7E08">
        <w:rPr>
          <w:rFonts w:cs="Times New Roman"/>
          <w:color w:val="000000"/>
        </w:rPr>
        <w:t>any distinct marketing strategy</w:t>
      </w:r>
      <w:r w:rsidRPr="00031DAD">
        <w:rPr>
          <w:rFonts w:cs="Times New Roman"/>
          <w:color w:val="000000"/>
        </w:rPr>
        <w:t xml:space="preserve">. The chocolates were combined in a bowl and presented without any additional packaging </w:t>
      </w:r>
      <w:r w:rsidR="005F7E08">
        <w:rPr>
          <w:rFonts w:cs="Times New Roman"/>
          <w:color w:val="000000"/>
        </w:rPr>
        <w:t xml:space="preserve">displaying </w:t>
      </w:r>
      <w:r w:rsidRPr="00031DAD">
        <w:rPr>
          <w:rFonts w:cs="Times New Roman"/>
          <w:color w:val="000000"/>
        </w:rPr>
        <w:t xml:space="preserve">labels or </w:t>
      </w:r>
      <w:r w:rsidR="005F7E08">
        <w:rPr>
          <w:rFonts w:cs="Times New Roman"/>
          <w:color w:val="000000"/>
        </w:rPr>
        <w:t xml:space="preserve">any other </w:t>
      </w:r>
      <w:r w:rsidRPr="00031DAD">
        <w:rPr>
          <w:rFonts w:cs="Times New Roman"/>
          <w:color w:val="000000"/>
        </w:rPr>
        <w:t xml:space="preserve">marketing </w:t>
      </w:r>
      <w:r w:rsidR="005F7E08">
        <w:rPr>
          <w:rFonts w:cs="Times New Roman"/>
          <w:color w:val="000000"/>
        </w:rPr>
        <w:t>tools,</w:t>
      </w:r>
      <w:r w:rsidRPr="00031DAD">
        <w:rPr>
          <w:rFonts w:cs="Times New Roman"/>
          <w:color w:val="000000"/>
        </w:rPr>
        <w:t xml:space="preserve"> other than their </w:t>
      </w:r>
      <w:r w:rsidRPr="00525874">
        <w:rPr>
          <w:rFonts w:cs="Times New Roman"/>
        </w:rPr>
        <w:t xml:space="preserve">individual wrappers. </w:t>
      </w:r>
      <w:r w:rsidR="005F7E08" w:rsidRPr="00525874">
        <w:rPr>
          <w:rFonts w:cs="Times New Roman"/>
        </w:rPr>
        <w:t>In t</w:t>
      </w:r>
      <w:r w:rsidRPr="00525874">
        <w:rPr>
          <w:rFonts w:cs="Times New Roman"/>
        </w:rPr>
        <w:t xml:space="preserve">he second trial </w:t>
      </w:r>
      <w:r w:rsidR="005F7E08" w:rsidRPr="00525874">
        <w:rPr>
          <w:rFonts w:cs="Times New Roman"/>
        </w:rPr>
        <w:t xml:space="preserve">phase, the manipulated variable was the presence of labels as a marketing tool: the three choices were separated and differentiated using the distinct marketing and labeling tools presented by each company in an actual market setting. </w:t>
      </w:r>
    </w:p>
    <w:p w14:paraId="39C1948E" w14:textId="3BD8D9FB" w:rsidR="00B93167" w:rsidRPr="00525874" w:rsidRDefault="005F7E08" w:rsidP="002930AB">
      <w:pPr>
        <w:spacing w:line="480" w:lineRule="auto"/>
        <w:ind w:firstLine="720"/>
        <w:rPr>
          <w:rFonts w:cs="Times New Roman"/>
        </w:rPr>
      </w:pPr>
      <w:r w:rsidRPr="00525874">
        <w:rPr>
          <w:rFonts w:cs="Times New Roman"/>
        </w:rPr>
        <w:t>In both trials, we controlled for other market variables that could potentially impact purchasing decisions by standardizing traits such as size, quality, and price, to ensure our data could be used to test our hypotheses.</w:t>
      </w:r>
    </w:p>
    <w:p w14:paraId="282F2161" w14:textId="77777777" w:rsidR="00622B5E" w:rsidRPr="00525874" w:rsidRDefault="00622B5E" w:rsidP="002930AB">
      <w:pPr>
        <w:spacing w:line="480" w:lineRule="auto"/>
        <w:ind w:firstLine="720"/>
        <w:rPr>
          <w:rFonts w:ascii="Times" w:hAnsi="Times" w:cs="Times New Roman"/>
          <w:sz w:val="20"/>
          <w:szCs w:val="20"/>
        </w:rPr>
      </w:pPr>
    </w:p>
    <w:p w14:paraId="526CDE3B" w14:textId="77777777" w:rsidR="00B93167" w:rsidRPr="00525874" w:rsidRDefault="00B93167" w:rsidP="00B93167">
      <w:pPr>
        <w:spacing w:line="480" w:lineRule="auto"/>
        <w:rPr>
          <w:rFonts w:ascii="Times" w:hAnsi="Times" w:cs="Times New Roman"/>
          <w:i/>
          <w:sz w:val="20"/>
          <w:szCs w:val="20"/>
        </w:rPr>
      </w:pPr>
      <w:r w:rsidRPr="00525874">
        <w:rPr>
          <w:rFonts w:cs="Times New Roman"/>
          <w:i/>
          <w:iCs/>
        </w:rPr>
        <w:t>Focus Group</w:t>
      </w:r>
    </w:p>
    <w:p w14:paraId="69481556" w14:textId="44C7A76E" w:rsidR="00860FB9" w:rsidRDefault="00B93167" w:rsidP="00B93167">
      <w:pPr>
        <w:spacing w:line="480" w:lineRule="auto"/>
        <w:rPr>
          <w:rFonts w:cs="Times New Roman"/>
          <w:color w:val="000000"/>
        </w:rPr>
      </w:pPr>
      <w:r w:rsidRPr="00525874">
        <w:rPr>
          <w:rFonts w:cs="Times New Roman"/>
          <w:i/>
          <w:iCs/>
        </w:rPr>
        <w:t>         </w:t>
      </w:r>
      <w:r w:rsidRPr="00525874">
        <w:rPr>
          <w:rFonts w:cs="Times New Roman"/>
          <w:i/>
          <w:iCs/>
        </w:rPr>
        <w:tab/>
      </w:r>
      <w:r w:rsidRPr="00525874">
        <w:rPr>
          <w:rFonts w:cs="Times New Roman"/>
        </w:rPr>
        <w:t xml:space="preserve">A focus group was conducted in order to further triangulate our findings. Six participants were </w:t>
      </w:r>
      <w:r w:rsidR="00A44D6D" w:rsidRPr="00525874">
        <w:rPr>
          <w:rFonts w:cs="Times New Roman"/>
        </w:rPr>
        <w:t>randomly chosen using self-selection</w:t>
      </w:r>
      <w:r w:rsidRPr="00525874">
        <w:rPr>
          <w:rFonts w:cs="Times New Roman"/>
        </w:rPr>
        <w:t xml:space="preserve"> by responding to anonymous flyers posted around campus </w:t>
      </w:r>
      <w:r w:rsidR="00A44D6D" w:rsidRPr="00525874">
        <w:rPr>
          <w:rFonts w:cs="Times New Roman"/>
        </w:rPr>
        <w:t>requesting</w:t>
      </w:r>
      <w:r w:rsidRPr="00525874">
        <w:rPr>
          <w:rFonts w:cs="Times New Roman"/>
        </w:rPr>
        <w:t xml:space="preserve"> participants needed for </w:t>
      </w:r>
      <w:r w:rsidR="00860FB9" w:rsidRPr="00525874">
        <w:rPr>
          <w:rFonts w:cs="Times New Roman"/>
        </w:rPr>
        <w:t>a</w:t>
      </w:r>
      <w:r w:rsidRPr="00525874">
        <w:rPr>
          <w:rFonts w:cs="Times New Roman"/>
        </w:rPr>
        <w:t xml:space="preserve"> focus</w:t>
      </w:r>
      <w:r w:rsidRPr="00031DAD">
        <w:rPr>
          <w:rFonts w:cs="Times New Roman"/>
          <w:color w:val="000000"/>
        </w:rPr>
        <w:t xml:space="preserve"> group</w:t>
      </w:r>
      <w:r w:rsidR="00860FB9">
        <w:rPr>
          <w:rFonts w:cs="Times New Roman"/>
          <w:color w:val="000000"/>
        </w:rPr>
        <w:t xml:space="preserve"> discussion</w:t>
      </w:r>
      <w:r w:rsidR="00A44D6D">
        <w:rPr>
          <w:rFonts w:cs="Times New Roman"/>
          <w:color w:val="000000"/>
        </w:rPr>
        <w:t xml:space="preserve">. </w:t>
      </w:r>
      <w:r w:rsidR="00860FB9">
        <w:rPr>
          <w:rFonts w:cs="Times New Roman"/>
          <w:color w:val="000000"/>
        </w:rPr>
        <w:t>We chose not to inform participants of the topic of our study prior to discussion so as to attract a more diverse sample. P</w:t>
      </w:r>
      <w:r w:rsidRPr="00031DAD">
        <w:rPr>
          <w:rFonts w:cs="Times New Roman"/>
          <w:color w:val="000000"/>
        </w:rPr>
        <w:t xml:space="preserve">articipants were all students at Skidmore College with ages ranging between </w:t>
      </w:r>
      <w:r>
        <w:rPr>
          <w:rFonts w:cs="Times New Roman"/>
          <w:bCs/>
          <w:color w:val="000000"/>
        </w:rPr>
        <w:t>19-21</w:t>
      </w:r>
      <w:r w:rsidRPr="00031DAD">
        <w:rPr>
          <w:rFonts w:cs="Times New Roman"/>
          <w:color w:val="000000"/>
        </w:rPr>
        <w:t xml:space="preserve">. Gender distribution was split </w:t>
      </w:r>
      <w:r>
        <w:rPr>
          <w:rFonts w:cs="Times New Roman"/>
          <w:color w:val="000000"/>
        </w:rPr>
        <w:t>equally</w:t>
      </w:r>
      <w:r w:rsidRPr="00031DAD">
        <w:rPr>
          <w:rFonts w:cs="Times New Roman"/>
          <w:color w:val="000000"/>
        </w:rPr>
        <w:t xml:space="preserve"> between males and females. </w:t>
      </w:r>
    </w:p>
    <w:p w14:paraId="52BE2A13" w14:textId="35F9E65A" w:rsidR="009C120D" w:rsidRPr="001A4F49" w:rsidRDefault="00B93167" w:rsidP="001A4F49">
      <w:pPr>
        <w:spacing w:line="480" w:lineRule="auto"/>
        <w:ind w:firstLine="720"/>
        <w:rPr>
          <w:rFonts w:ascii="Times" w:hAnsi="Times" w:cs="Times New Roman"/>
          <w:sz w:val="20"/>
          <w:szCs w:val="20"/>
        </w:rPr>
      </w:pPr>
      <w:r w:rsidRPr="00031DAD">
        <w:rPr>
          <w:rFonts w:cs="Times New Roman"/>
          <w:color w:val="000000"/>
        </w:rPr>
        <w:t xml:space="preserve">The forty-five minute long </w:t>
      </w:r>
      <w:r w:rsidR="006C6EA9">
        <w:rPr>
          <w:rFonts w:cs="Times New Roman"/>
          <w:color w:val="000000"/>
        </w:rPr>
        <w:t xml:space="preserve">discussion </w:t>
      </w:r>
      <w:r w:rsidRPr="00031DAD">
        <w:rPr>
          <w:rFonts w:cs="Times New Roman"/>
          <w:color w:val="000000"/>
        </w:rPr>
        <w:t xml:space="preserve">session was co-conducted </w:t>
      </w:r>
      <w:r w:rsidR="006C6EA9">
        <w:rPr>
          <w:rFonts w:cs="Times New Roman"/>
          <w:color w:val="000000"/>
        </w:rPr>
        <w:t>by two researchers</w:t>
      </w:r>
      <w:r w:rsidR="0043054F">
        <w:rPr>
          <w:rFonts w:cs="Times New Roman"/>
          <w:color w:val="000000"/>
        </w:rPr>
        <w:t>, who moderated and facilitated dialogue</w:t>
      </w:r>
      <w:r w:rsidRPr="00031DAD">
        <w:rPr>
          <w:rFonts w:cs="Times New Roman"/>
          <w:color w:val="000000"/>
        </w:rPr>
        <w:t xml:space="preserve"> using pre-established guiding questions to steer the direction of the conversation </w:t>
      </w:r>
      <w:r w:rsidR="0043054F">
        <w:rPr>
          <w:rFonts w:cs="Times New Roman"/>
          <w:color w:val="000000"/>
        </w:rPr>
        <w:t>onto topics related to</w:t>
      </w:r>
      <w:r w:rsidRPr="00031DAD">
        <w:rPr>
          <w:rFonts w:cs="Times New Roman"/>
          <w:color w:val="000000"/>
        </w:rPr>
        <w:t xml:space="preserve"> our research questions. Our</w:t>
      </w:r>
      <w:r w:rsidR="001A4F49">
        <w:rPr>
          <w:rFonts w:cs="Times New Roman"/>
          <w:color w:val="000000"/>
        </w:rPr>
        <w:t xml:space="preserve"> discussion</w:t>
      </w:r>
      <w:r w:rsidRPr="00031DAD">
        <w:rPr>
          <w:rFonts w:cs="Times New Roman"/>
          <w:color w:val="000000"/>
        </w:rPr>
        <w:t xml:space="preserve"> questions consisted of broad inquiries regarding personal environmental consciousness, individual aware</w:t>
      </w:r>
      <w:r w:rsidR="00016532">
        <w:rPr>
          <w:rFonts w:cs="Times New Roman"/>
          <w:color w:val="000000"/>
        </w:rPr>
        <w:t>ness of green marketing schemes and their</w:t>
      </w:r>
      <w:r w:rsidRPr="00031DAD">
        <w:rPr>
          <w:rFonts w:cs="Times New Roman"/>
          <w:color w:val="000000"/>
        </w:rPr>
        <w:t xml:space="preserve"> perceived impact on </w:t>
      </w:r>
      <w:r w:rsidR="00016532">
        <w:rPr>
          <w:rFonts w:cs="Times New Roman"/>
          <w:color w:val="000000"/>
        </w:rPr>
        <w:t xml:space="preserve">the </w:t>
      </w:r>
      <w:r w:rsidRPr="00031DAD">
        <w:rPr>
          <w:rFonts w:cs="Times New Roman"/>
          <w:color w:val="000000"/>
        </w:rPr>
        <w:t xml:space="preserve">decision-making processes, and confidence in </w:t>
      </w:r>
      <w:r w:rsidR="00F30154">
        <w:rPr>
          <w:rFonts w:cs="Times New Roman"/>
          <w:color w:val="000000"/>
        </w:rPr>
        <w:t>eco-</w:t>
      </w:r>
      <w:r w:rsidRPr="00031DAD">
        <w:rPr>
          <w:rFonts w:cs="Times New Roman"/>
          <w:color w:val="000000"/>
        </w:rPr>
        <w:t xml:space="preserve">label identification. </w:t>
      </w:r>
      <w:r w:rsidR="005B33E5">
        <w:rPr>
          <w:rFonts w:cs="Times New Roman"/>
          <w:color w:val="000000"/>
        </w:rPr>
        <w:t>The primary goals of the focus group discussion were to validate the findings of both our survey and social experiment, and to provide complimentary qualitative data.</w:t>
      </w:r>
    </w:p>
    <w:p w14:paraId="7834D31D" w14:textId="77777777" w:rsidR="009C120D" w:rsidRDefault="009C120D">
      <w:pPr>
        <w:rPr>
          <w:rFonts w:cs="Times New Roman"/>
          <w:color w:val="000000"/>
        </w:rPr>
      </w:pPr>
      <w:r>
        <w:rPr>
          <w:rFonts w:cs="Times New Roman"/>
          <w:color w:val="000000"/>
        </w:rPr>
        <w:br w:type="page"/>
      </w:r>
    </w:p>
    <w:p w14:paraId="1DE7E665" w14:textId="77777777" w:rsidR="009C120D" w:rsidRDefault="009C120D" w:rsidP="009C120D">
      <w:pPr>
        <w:rPr>
          <w:rFonts w:cs="Times New Roman"/>
          <w:b/>
          <w:color w:val="000000"/>
        </w:rPr>
      </w:pPr>
      <w:r>
        <w:rPr>
          <w:rFonts w:cs="Times New Roman"/>
          <w:b/>
          <w:color w:val="000000"/>
        </w:rPr>
        <w:t>FINDINGS</w:t>
      </w:r>
    </w:p>
    <w:p w14:paraId="647E85BC" w14:textId="77777777" w:rsidR="009C120D" w:rsidRPr="00BF55B2" w:rsidRDefault="009C120D" w:rsidP="009C120D">
      <w:pPr>
        <w:rPr>
          <w:rFonts w:cs="Times New Roman"/>
          <w:b/>
          <w:color w:val="000000"/>
        </w:rPr>
      </w:pPr>
    </w:p>
    <w:p w14:paraId="64DD5D5A" w14:textId="77777777" w:rsidR="009C120D" w:rsidRPr="00BF55B2" w:rsidRDefault="009C120D" w:rsidP="00A12607">
      <w:pPr>
        <w:spacing w:line="480" w:lineRule="auto"/>
        <w:rPr>
          <w:rFonts w:cs="Times New Roman"/>
          <w:b/>
          <w:color w:val="000000"/>
        </w:rPr>
      </w:pPr>
      <w:r w:rsidRPr="00BF55B2">
        <w:rPr>
          <w:rFonts w:cs="Times New Roman"/>
          <w:b/>
          <w:color w:val="000000"/>
        </w:rPr>
        <w:t>Millennials have strong environmental values</w:t>
      </w:r>
    </w:p>
    <w:p w14:paraId="63E42347" w14:textId="0BFB2245" w:rsidR="009C120D" w:rsidRDefault="0057481A" w:rsidP="00E0733F">
      <w:pPr>
        <w:spacing w:line="480" w:lineRule="auto"/>
        <w:ind w:firstLine="720"/>
        <w:rPr>
          <w:rFonts w:cs="Times New Roman"/>
          <w:color w:val="000000"/>
        </w:rPr>
      </w:pPr>
      <w:r>
        <w:rPr>
          <w:rFonts w:cs="Times New Roman"/>
          <w:color w:val="000000"/>
        </w:rPr>
        <w:t>Our survey revealed that</w:t>
      </w:r>
      <w:r w:rsidR="00C25D6D">
        <w:rPr>
          <w:rFonts w:cs="Times New Roman"/>
          <w:color w:val="000000"/>
        </w:rPr>
        <w:t xml:space="preserve"> </w:t>
      </w:r>
      <w:r w:rsidR="009C120D" w:rsidRPr="0094401B">
        <w:rPr>
          <w:rFonts w:cs="Times New Roman"/>
          <w:color w:val="000000"/>
        </w:rPr>
        <w:t>Millennials</w:t>
      </w:r>
      <w:r>
        <w:rPr>
          <w:rFonts w:cs="Times New Roman"/>
          <w:color w:val="000000"/>
        </w:rPr>
        <w:t xml:space="preserve"> self-identify as having</w:t>
      </w:r>
      <w:r w:rsidR="009C120D" w:rsidRPr="0094401B">
        <w:rPr>
          <w:rFonts w:cs="Times New Roman"/>
          <w:color w:val="000000"/>
        </w:rPr>
        <w:t xml:space="preserve"> strong environmental values. </w:t>
      </w:r>
      <w:r>
        <w:rPr>
          <w:rFonts w:cs="Times New Roman"/>
          <w:color w:val="000000"/>
        </w:rPr>
        <w:t>43.40% agreed and 45.50% strongly agreed with the statement “preserving the environment is important to me”</w:t>
      </w:r>
      <w:r w:rsidR="009C120D" w:rsidRPr="0094401B">
        <w:rPr>
          <w:rFonts w:cs="Times New Roman"/>
          <w:color w:val="000000"/>
        </w:rPr>
        <w:t xml:space="preserve">. </w:t>
      </w:r>
      <w:r w:rsidR="00C25D6D">
        <w:rPr>
          <w:rFonts w:cs="Times New Roman"/>
          <w:color w:val="000000"/>
        </w:rPr>
        <w:t>While overall, a</w:t>
      </w:r>
      <w:r w:rsidR="009C120D" w:rsidRPr="0094401B">
        <w:rPr>
          <w:rFonts w:cs="Times New Roman"/>
          <w:color w:val="000000"/>
        </w:rPr>
        <w:t xml:space="preserve"> total of 88.9% </w:t>
      </w:r>
      <w:r w:rsidR="00C25D6D">
        <w:rPr>
          <w:rFonts w:cs="Times New Roman"/>
          <w:color w:val="000000"/>
        </w:rPr>
        <w:t>of respondents agreed</w:t>
      </w:r>
      <w:r w:rsidR="009C120D" w:rsidRPr="0094401B">
        <w:rPr>
          <w:rFonts w:cs="Times New Roman"/>
          <w:color w:val="000000"/>
        </w:rPr>
        <w:t xml:space="preserve"> to some level that preserving the environment was of personal importance</w:t>
      </w:r>
      <w:r w:rsidR="00C25D6D">
        <w:rPr>
          <w:rFonts w:cs="Times New Roman"/>
          <w:color w:val="000000"/>
        </w:rPr>
        <w:t>, we used these categories to divide our sample population into two distinct groups</w:t>
      </w:r>
      <w:r w:rsidR="009C120D" w:rsidRPr="0094401B">
        <w:rPr>
          <w:rFonts w:cs="Times New Roman"/>
          <w:color w:val="000000"/>
        </w:rPr>
        <w:t xml:space="preserve">. </w:t>
      </w:r>
      <w:r w:rsidR="00C25D6D">
        <w:rPr>
          <w:rFonts w:cs="Times New Roman"/>
          <w:color w:val="000000"/>
        </w:rPr>
        <w:t>Respondents who strongly agreed that environmental preservation was important to them are designated as “Environmentalists”. This is the segment of our sample population</w:t>
      </w:r>
      <w:r w:rsidR="00E77B6A">
        <w:rPr>
          <w:rFonts w:cs="Times New Roman"/>
          <w:color w:val="000000"/>
        </w:rPr>
        <w:t xml:space="preserve"> that we believed to be the most likely to use environmental considerations in their consumer behavior, </w:t>
      </w:r>
      <w:r w:rsidR="00E77B6A" w:rsidRPr="00D762DC">
        <w:rPr>
          <w:rFonts w:cs="Times New Roman"/>
        </w:rPr>
        <w:t>based on self-evaluation of their level of environmental commitment.</w:t>
      </w:r>
      <w:r w:rsidR="00E77B6A">
        <w:rPr>
          <w:rFonts w:cs="Times New Roman"/>
          <w:color w:val="000000"/>
        </w:rPr>
        <w:t xml:space="preserve"> Environmentalists constitute </w:t>
      </w:r>
      <w:r w:rsidR="009C120D">
        <w:rPr>
          <w:rFonts w:cs="Times New Roman"/>
          <w:color w:val="000000"/>
        </w:rPr>
        <w:t>45</w:t>
      </w:r>
      <w:r w:rsidR="00B05FAF">
        <w:rPr>
          <w:rFonts w:cs="Times New Roman"/>
          <w:color w:val="000000"/>
        </w:rPr>
        <w:t>.50</w:t>
      </w:r>
      <w:r w:rsidR="009C120D">
        <w:rPr>
          <w:rFonts w:cs="Times New Roman"/>
          <w:color w:val="000000"/>
        </w:rPr>
        <w:t>% of our sample population</w:t>
      </w:r>
      <w:r w:rsidR="00B05FAF">
        <w:rPr>
          <w:rFonts w:cs="Times New Roman"/>
          <w:color w:val="000000"/>
        </w:rPr>
        <w:t>, while the remaining 54.50% are designated as “Non-Environmentalists”</w:t>
      </w:r>
      <w:r w:rsidR="00E0733F">
        <w:rPr>
          <w:rFonts w:cs="Times New Roman"/>
          <w:color w:val="000000"/>
        </w:rPr>
        <w:t>.</w:t>
      </w:r>
      <w:r w:rsidR="00F61471">
        <w:rPr>
          <w:rStyle w:val="FootnoteReference"/>
          <w:rFonts w:cs="Times New Roman"/>
          <w:color w:val="000000"/>
        </w:rPr>
        <w:footnoteReference w:id="3"/>
      </w:r>
    </w:p>
    <w:tbl>
      <w:tblPr>
        <w:tblW w:w="5344" w:type="pct"/>
        <w:tblInd w:w="-702" w:type="dxa"/>
        <w:tblLayout w:type="fixed"/>
        <w:tblLook w:val="04A0" w:firstRow="1" w:lastRow="0" w:firstColumn="1" w:lastColumn="0" w:noHBand="0" w:noVBand="1"/>
      </w:tblPr>
      <w:tblGrid>
        <w:gridCol w:w="591"/>
        <w:gridCol w:w="293"/>
        <w:gridCol w:w="886"/>
        <w:gridCol w:w="2317"/>
        <w:gridCol w:w="2641"/>
        <w:gridCol w:w="1435"/>
        <w:gridCol w:w="2072"/>
      </w:tblGrid>
      <w:tr w:rsidR="00ED6621" w:rsidRPr="0094401B" w14:paraId="6B1189D0" w14:textId="77777777" w:rsidTr="00693273">
        <w:trPr>
          <w:trHeight w:val="1331"/>
        </w:trPr>
        <w:tc>
          <w:tcPr>
            <w:tcW w:w="432" w:type="pct"/>
            <w:gridSpan w:val="2"/>
            <w:tcBorders>
              <w:top w:val="single" w:sz="4" w:space="0" w:color="000000"/>
              <w:left w:val="nil"/>
              <w:bottom w:val="single" w:sz="4" w:space="0" w:color="000000"/>
              <w:right w:val="nil"/>
            </w:tcBorders>
            <w:shd w:val="clear" w:color="auto" w:fill="auto"/>
            <w:noWrap/>
            <w:vAlign w:val="bottom"/>
            <w:hideMark/>
          </w:tcPr>
          <w:p w14:paraId="18763090" w14:textId="77777777" w:rsidR="00ED6621" w:rsidRPr="0094401B" w:rsidRDefault="00ED6621" w:rsidP="00693273">
            <w:pPr>
              <w:rPr>
                <w:rFonts w:eastAsia="Times New Roman" w:cs="Times New Roman"/>
                <w:b/>
                <w:bCs/>
                <w:color w:val="000000"/>
                <w:sz w:val="22"/>
                <w:szCs w:val="22"/>
              </w:rPr>
            </w:pPr>
          </w:p>
        </w:tc>
        <w:tc>
          <w:tcPr>
            <w:tcW w:w="1565" w:type="pct"/>
            <w:gridSpan w:val="2"/>
            <w:tcBorders>
              <w:top w:val="single" w:sz="4" w:space="0" w:color="000000"/>
              <w:left w:val="nil"/>
              <w:bottom w:val="single" w:sz="4" w:space="0" w:color="000000"/>
              <w:right w:val="nil"/>
            </w:tcBorders>
            <w:shd w:val="clear" w:color="auto" w:fill="auto"/>
            <w:noWrap/>
            <w:vAlign w:val="bottom"/>
            <w:hideMark/>
          </w:tcPr>
          <w:p w14:paraId="0931D337" w14:textId="77777777" w:rsidR="00ED6621" w:rsidRPr="0094401B" w:rsidRDefault="00ED6621" w:rsidP="00693273">
            <w:pPr>
              <w:ind w:left="992"/>
              <w:rPr>
                <w:rFonts w:eastAsia="Times New Roman" w:cs="Times New Roman"/>
                <w:b/>
                <w:bCs/>
                <w:color w:val="000000"/>
                <w:sz w:val="20"/>
                <w:szCs w:val="20"/>
              </w:rPr>
            </w:pPr>
            <w:r w:rsidRPr="0094401B">
              <w:rPr>
                <w:rFonts w:eastAsia="Times New Roman" w:cs="Times New Roman"/>
                <w:b/>
                <w:bCs/>
                <w:color w:val="000000"/>
                <w:sz w:val="20"/>
                <w:szCs w:val="20"/>
              </w:rPr>
              <w:t>I am more willing to purchase a product from a company with a strong commitment to the    environment</w:t>
            </w:r>
          </w:p>
        </w:tc>
        <w:tc>
          <w:tcPr>
            <w:tcW w:w="1290" w:type="pct"/>
            <w:tcBorders>
              <w:top w:val="single" w:sz="4" w:space="0" w:color="000000"/>
              <w:left w:val="nil"/>
              <w:bottom w:val="single" w:sz="4" w:space="0" w:color="000000"/>
              <w:right w:val="nil"/>
            </w:tcBorders>
            <w:shd w:val="clear" w:color="auto" w:fill="auto"/>
            <w:noWrap/>
            <w:vAlign w:val="bottom"/>
            <w:hideMark/>
          </w:tcPr>
          <w:p w14:paraId="5780A2B8" w14:textId="77777777" w:rsidR="00ED6621" w:rsidRPr="0094401B" w:rsidRDefault="00ED6621" w:rsidP="00693273">
            <w:pPr>
              <w:ind w:left="484"/>
              <w:rPr>
                <w:rFonts w:eastAsia="Times New Roman" w:cs="Times New Roman"/>
                <w:b/>
                <w:bCs/>
                <w:color w:val="000000"/>
                <w:sz w:val="20"/>
                <w:szCs w:val="20"/>
              </w:rPr>
            </w:pPr>
            <w:r w:rsidRPr="0094401B">
              <w:rPr>
                <w:rFonts w:eastAsia="Times New Roman" w:cs="Times New Roman"/>
                <w:b/>
                <w:bCs/>
                <w:color w:val="000000"/>
                <w:sz w:val="20"/>
                <w:szCs w:val="20"/>
              </w:rPr>
              <w:t>I am able to determine the environmental commitment of a company from its product’s label</w:t>
            </w:r>
          </w:p>
        </w:tc>
        <w:tc>
          <w:tcPr>
            <w:tcW w:w="701" w:type="pct"/>
            <w:tcBorders>
              <w:top w:val="single" w:sz="4" w:space="0" w:color="000000"/>
              <w:left w:val="nil"/>
              <w:bottom w:val="single" w:sz="4" w:space="0" w:color="000000"/>
              <w:right w:val="nil"/>
            </w:tcBorders>
            <w:shd w:val="clear" w:color="auto" w:fill="auto"/>
            <w:noWrap/>
            <w:vAlign w:val="bottom"/>
            <w:hideMark/>
          </w:tcPr>
          <w:p w14:paraId="7CEF6074" w14:textId="77777777" w:rsidR="00ED6621" w:rsidRPr="0094401B" w:rsidRDefault="00ED6621" w:rsidP="00693273">
            <w:pPr>
              <w:ind w:left="197" w:hanging="197"/>
              <w:rPr>
                <w:rFonts w:eastAsia="Times New Roman" w:cs="Times New Roman"/>
                <w:b/>
                <w:bCs/>
                <w:color w:val="000000"/>
                <w:sz w:val="20"/>
                <w:szCs w:val="20"/>
              </w:rPr>
            </w:pPr>
            <w:r w:rsidRPr="0094401B">
              <w:rPr>
                <w:rFonts w:eastAsia="Times New Roman" w:cs="Times New Roman"/>
                <w:b/>
                <w:bCs/>
                <w:color w:val="000000"/>
                <w:sz w:val="20"/>
                <w:szCs w:val="20"/>
              </w:rPr>
              <w:t>Preserving the environment is important to me</w:t>
            </w:r>
          </w:p>
        </w:tc>
        <w:tc>
          <w:tcPr>
            <w:tcW w:w="1013" w:type="pct"/>
            <w:tcBorders>
              <w:top w:val="single" w:sz="4" w:space="0" w:color="000000"/>
              <w:left w:val="nil"/>
              <w:bottom w:val="single" w:sz="4" w:space="0" w:color="000000"/>
              <w:right w:val="nil"/>
            </w:tcBorders>
            <w:shd w:val="clear" w:color="auto" w:fill="auto"/>
            <w:noWrap/>
            <w:vAlign w:val="bottom"/>
            <w:hideMark/>
          </w:tcPr>
          <w:p w14:paraId="06544CC3" w14:textId="77777777" w:rsidR="00ED6621" w:rsidRPr="0094401B" w:rsidRDefault="00ED6621" w:rsidP="00693273">
            <w:pPr>
              <w:ind w:left="484" w:firstLine="360"/>
              <w:rPr>
                <w:rFonts w:eastAsia="Times New Roman" w:cs="Times New Roman"/>
                <w:b/>
                <w:bCs/>
                <w:color w:val="000000"/>
                <w:sz w:val="20"/>
                <w:szCs w:val="20"/>
              </w:rPr>
            </w:pPr>
            <w:r w:rsidRPr="0094401B">
              <w:rPr>
                <w:rFonts w:eastAsia="Times New Roman" w:cs="Times New Roman"/>
                <w:b/>
                <w:bCs/>
                <w:color w:val="000000"/>
                <w:sz w:val="20"/>
                <w:szCs w:val="20"/>
              </w:rPr>
              <w:t>I am willing to pay extra for a product that is better for the environment</w:t>
            </w:r>
          </w:p>
        </w:tc>
      </w:tr>
      <w:tr w:rsidR="00ED6621" w:rsidRPr="0094401B" w14:paraId="6840D9FB" w14:textId="77777777" w:rsidTr="00693273">
        <w:trPr>
          <w:gridBefore w:val="1"/>
          <w:wBefore w:w="289" w:type="pct"/>
          <w:trHeight w:val="280"/>
        </w:trPr>
        <w:tc>
          <w:tcPr>
            <w:tcW w:w="576" w:type="pct"/>
            <w:gridSpan w:val="2"/>
            <w:tcBorders>
              <w:top w:val="nil"/>
              <w:left w:val="nil"/>
              <w:bottom w:val="nil"/>
              <w:right w:val="nil"/>
            </w:tcBorders>
            <w:shd w:val="clear" w:color="D9D9D9" w:fill="D9D9D9"/>
            <w:noWrap/>
            <w:vAlign w:val="bottom"/>
            <w:hideMark/>
          </w:tcPr>
          <w:p w14:paraId="1AE0DA84" w14:textId="77777777" w:rsidR="00ED6621" w:rsidRPr="0094401B" w:rsidRDefault="00ED6621" w:rsidP="00693273">
            <w:pPr>
              <w:rPr>
                <w:rFonts w:eastAsia="Times New Roman" w:cs="Times New Roman"/>
                <w:color w:val="000000"/>
                <w:sz w:val="22"/>
                <w:szCs w:val="22"/>
              </w:rPr>
            </w:pPr>
            <w:r w:rsidRPr="0094401B">
              <w:rPr>
                <w:rFonts w:eastAsia="Times New Roman" w:cs="Times New Roman"/>
                <w:color w:val="000000"/>
                <w:sz w:val="22"/>
                <w:szCs w:val="22"/>
              </w:rPr>
              <w:t>Strongly Disagree</w:t>
            </w:r>
          </w:p>
        </w:tc>
        <w:tc>
          <w:tcPr>
            <w:tcW w:w="1130" w:type="pct"/>
            <w:tcBorders>
              <w:top w:val="nil"/>
              <w:left w:val="nil"/>
              <w:bottom w:val="nil"/>
              <w:right w:val="nil"/>
            </w:tcBorders>
            <w:shd w:val="clear" w:color="D9D9D9" w:fill="D9D9D9"/>
            <w:noWrap/>
            <w:vAlign w:val="bottom"/>
            <w:hideMark/>
          </w:tcPr>
          <w:p w14:paraId="3F2BA76F"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3.90%</w:t>
            </w:r>
          </w:p>
        </w:tc>
        <w:tc>
          <w:tcPr>
            <w:tcW w:w="1290" w:type="pct"/>
            <w:tcBorders>
              <w:top w:val="nil"/>
              <w:left w:val="nil"/>
              <w:bottom w:val="nil"/>
              <w:right w:val="nil"/>
            </w:tcBorders>
            <w:shd w:val="clear" w:color="D9D9D9" w:fill="D9D9D9"/>
            <w:noWrap/>
            <w:vAlign w:val="bottom"/>
            <w:hideMark/>
          </w:tcPr>
          <w:p w14:paraId="08C330FC"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11.50%</w:t>
            </w:r>
          </w:p>
        </w:tc>
        <w:tc>
          <w:tcPr>
            <w:tcW w:w="701" w:type="pct"/>
            <w:tcBorders>
              <w:top w:val="nil"/>
              <w:left w:val="nil"/>
              <w:bottom w:val="nil"/>
              <w:right w:val="nil"/>
            </w:tcBorders>
            <w:shd w:val="clear" w:color="D9D9D9" w:fill="D9D9D9"/>
            <w:noWrap/>
            <w:vAlign w:val="bottom"/>
            <w:hideMark/>
          </w:tcPr>
          <w:p w14:paraId="433AD6FD"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3.60%</w:t>
            </w:r>
          </w:p>
        </w:tc>
        <w:tc>
          <w:tcPr>
            <w:tcW w:w="1010" w:type="pct"/>
            <w:tcBorders>
              <w:top w:val="nil"/>
              <w:left w:val="nil"/>
              <w:bottom w:val="nil"/>
              <w:right w:val="nil"/>
            </w:tcBorders>
            <w:shd w:val="clear" w:color="D9D9D9" w:fill="D9D9D9"/>
            <w:noWrap/>
            <w:vAlign w:val="bottom"/>
            <w:hideMark/>
          </w:tcPr>
          <w:p w14:paraId="43567E87"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6.10%</w:t>
            </w:r>
          </w:p>
        </w:tc>
      </w:tr>
      <w:tr w:rsidR="00ED6621" w:rsidRPr="0094401B" w14:paraId="16710678" w14:textId="77777777" w:rsidTr="00693273">
        <w:trPr>
          <w:gridBefore w:val="1"/>
          <w:wBefore w:w="289" w:type="pct"/>
          <w:trHeight w:val="280"/>
        </w:trPr>
        <w:tc>
          <w:tcPr>
            <w:tcW w:w="576" w:type="pct"/>
            <w:gridSpan w:val="2"/>
            <w:tcBorders>
              <w:top w:val="nil"/>
              <w:left w:val="nil"/>
              <w:bottom w:val="nil"/>
              <w:right w:val="nil"/>
            </w:tcBorders>
            <w:shd w:val="clear" w:color="auto" w:fill="auto"/>
            <w:noWrap/>
            <w:vAlign w:val="bottom"/>
            <w:hideMark/>
          </w:tcPr>
          <w:p w14:paraId="1AF76354" w14:textId="77777777" w:rsidR="00ED6621" w:rsidRPr="0094401B" w:rsidRDefault="00ED6621" w:rsidP="00693273">
            <w:pPr>
              <w:rPr>
                <w:rFonts w:eastAsia="Times New Roman" w:cs="Times New Roman"/>
                <w:color w:val="000000"/>
                <w:sz w:val="22"/>
                <w:szCs w:val="22"/>
              </w:rPr>
            </w:pPr>
            <w:r w:rsidRPr="0094401B">
              <w:rPr>
                <w:rFonts w:eastAsia="Times New Roman" w:cs="Times New Roman"/>
                <w:color w:val="000000"/>
                <w:sz w:val="22"/>
                <w:szCs w:val="22"/>
              </w:rPr>
              <w:t>Disagree</w:t>
            </w:r>
          </w:p>
        </w:tc>
        <w:tc>
          <w:tcPr>
            <w:tcW w:w="1131" w:type="pct"/>
            <w:tcBorders>
              <w:top w:val="nil"/>
              <w:left w:val="nil"/>
              <w:bottom w:val="nil"/>
              <w:right w:val="nil"/>
            </w:tcBorders>
            <w:shd w:val="clear" w:color="auto" w:fill="auto"/>
            <w:noWrap/>
            <w:vAlign w:val="bottom"/>
            <w:hideMark/>
          </w:tcPr>
          <w:p w14:paraId="1FAA4BA2"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5.40%</w:t>
            </w:r>
          </w:p>
        </w:tc>
        <w:tc>
          <w:tcPr>
            <w:tcW w:w="1290" w:type="pct"/>
            <w:tcBorders>
              <w:top w:val="nil"/>
              <w:left w:val="nil"/>
              <w:bottom w:val="nil"/>
              <w:right w:val="nil"/>
            </w:tcBorders>
            <w:shd w:val="clear" w:color="auto" w:fill="auto"/>
            <w:noWrap/>
            <w:vAlign w:val="bottom"/>
            <w:hideMark/>
          </w:tcPr>
          <w:p w14:paraId="63244F94"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40.10%</w:t>
            </w:r>
          </w:p>
        </w:tc>
        <w:tc>
          <w:tcPr>
            <w:tcW w:w="701" w:type="pct"/>
            <w:tcBorders>
              <w:top w:val="nil"/>
              <w:left w:val="nil"/>
              <w:bottom w:val="nil"/>
              <w:right w:val="nil"/>
            </w:tcBorders>
            <w:shd w:val="clear" w:color="auto" w:fill="auto"/>
            <w:noWrap/>
            <w:vAlign w:val="bottom"/>
            <w:hideMark/>
          </w:tcPr>
          <w:p w14:paraId="030DD6C8"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1.40%</w:t>
            </w:r>
          </w:p>
        </w:tc>
        <w:tc>
          <w:tcPr>
            <w:tcW w:w="1013" w:type="pct"/>
            <w:tcBorders>
              <w:top w:val="nil"/>
              <w:left w:val="nil"/>
              <w:bottom w:val="nil"/>
              <w:right w:val="nil"/>
            </w:tcBorders>
            <w:shd w:val="clear" w:color="auto" w:fill="auto"/>
            <w:noWrap/>
            <w:vAlign w:val="bottom"/>
            <w:hideMark/>
          </w:tcPr>
          <w:p w14:paraId="44F56D5B"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10.80%</w:t>
            </w:r>
          </w:p>
        </w:tc>
      </w:tr>
      <w:tr w:rsidR="00ED6621" w:rsidRPr="0094401B" w14:paraId="2F16A82B" w14:textId="77777777" w:rsidTr="00693273">
        <w:trPr>
          <w:gridBefore w:val="1"/>
          <w:wBefore w:w="289" w:type="pct"/>
          <w:trHeight w:val="280"/>
        </w:trPr>
        <w:tc>
          <w:tcPr>
            <w:tcW w:w="576" w:type="pct"/>
            <w:gridSpan w:val="2"/>
            <w:tcBorders>
              <w:top w:val="nil"/>
              <w:left w:val="nil"/>
              <w:bottom w:val="nil"/>
              <w:right w:val="nil"/>
            </w:tcBorders>
            <w:shd w:val="clear" w:color="D9D9D9" w:fill="D9D9D9"/>
            <w:noWrap/>
            <w:vAlign w:val="bottom"/>
            <w:hideMark/>
          </w:tcPr>
          <w:p w14:paraId="0911DBE0" w14:textId="77777777" w:rsidR="00ED6621" w:rsidRPr="0094401B" w:rsidRDefault="00ED6621" w:rsidP="00693273">
            <w:pPr>
              <w:rPr>
                <w:rFonts w:eastAsia="Times New Roman" w:cs="Times New Roman"/>
                <w:color w:val="000000"/>
                <w:sz w:val="22"/>
                <w:szCs w:val="22"/>
              </w:rPr>
            </w:pPr>
            <w:r w:rsidRPr="0094401B">
              <w:rPr>
                <w:rFonts w:eastAsia="Times New Roman" w:cs="Times New Roman"/>
                <w:color w:val="000000"/>
                <w:sz w:val="22"/>
                <w:szCs w:val="22"/>
              </w:rPr>
              <w:t>Neither Agree nor Disagree</w:t>
            </w:r>
          </w:p>
        </w:tc>
        <w:tc>
          <w:tcPr>
            <w:tcW w:w="1131" w:type="pct"/>
            <w:tcBorders>
              <w:top w:val="nil"/>
              <w:left w:val="nil"/>
              <w:bottom w:val="nil"/>
              <w:right w:val="nil"/>
            </w:tcBorders>
            <w:shd w:val="clear" w:color="D9D9D9" w:fill="D9D9D9"/>
            <w:noWrap/>
            <w:vAlign w:val="bottom"/>
            <w:hideMark/>
          </w:tcPr>
          <w:p w14:paraId="0D2CCF49"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19.40%</w:t>
            </w:r>
          </w:p>
        </w:tc>
        <w:tc>
          <w:tcPr>
            <w:tcW w:w="1290" w:type="pct"/>
            <w:tcBorders>
              <w:top w:val="nil"/>
              <w:left w:val="nil"/>
              <w:bottom w:val="nil"/>
              <w:right w:val="nil"/>
            </w:tcBorders>
            <w:shd w:val="clear" w:color="D9D9D9" w:fill="D9D9D9"/>
            <w:noWrap/>
            <w:vAlign w:val="bottom"/>
            <w:hideMark/>
          </w:tcPr>
          <w:p w14:paraId="0B18CBC2"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30.50%</w:t>
            </w:r>
          </w:p>
        </w:tc>
        <w:tc>
          <w:tcPr>
            <w:tcW w:w="701" w:type="pct"/>
            <w:tcBorders>
              <w:top w:val="nil"/>
              <w:left w:val="nil"/>
              <w:bottom w:val="nil"/>
              <w:right w:val="nil"/>
            </w:tcBorders>
            <w:shd w:val="clear" w:color="D9D9D9" w:fill="D9D9D9"/>
            <w:noWrap/>
            <w:vAlign w:val="bottom"/>
            <w:hideMark/>
          </w:tcPr>
          <w:p w14:paraId="514D99B5"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6.10%</w:t>
            </w:r>
          </w:p>
        </w:tc>
        <w:tc>
          <w:tcPr>
            <w:tcW w:w="1013" w:type="pct"/>
            <w:tcBorders>
              <w:top w:val="nil"/>
              <w:left w:val="nil"/>
              <w:bottom w:val="nil"/>
              <w:right w:val="nil"/>
            </w:tcBorders>
            <w:shd w:val="clear" w:color="D9D9D9" w:fill="D9D9D9"/>
            <w:noWrap/>
            <w:vAlign w:val="bottom"/>
            <w:hideMark/>
          </w:tcPr>
          <w:p w14:paraId="290E927E"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28.30%</w:t>
            </w:r>
          </w:p>
        </w:tc>
      </w:tr>
      <w:tr w:rsidR="00ED6621" w:rsidRPr="0094401B" w14:paraId="1951E7E1" w14:textId="77777777" w:rsidTr="00693273">
        <w:trPr>
          <w:gridBefore w:val="1"/>
          <w:wBefore w:w="289" w:type="pct"/>
          <w:trHeight w:val="280"/>
        </w:trPr>
        <w:tc>
          <w:tcPr>
            <w:tcW w:w="576" w:type="pct"/>
            <w:gridSpan w:val="2"/>
            <w:tcBorders>
              <w:top w:val="nil"/>
              <w:left w:val="nil"/>
              <w:bottom w:val="nil"/>
              <w:right w:val="nil"/>
            </w:tcBorders>
            <w:shd w:val="clear" w:color="auto" w:fill="auto"/>
            <w:noWrap/>
            <w:vAlign w:val="bottom"/>
            <w:hideMark/>
          </w:tcPr>
          <w:p w14:paraId="133E3C89" w14:textId="77777777" w:rsidR="00ED6621" w:rsidRPr="0094401B" w:rsidRDefault="00ED6621" w:rsidP="00693273">
            <w:pPr>
              <w:rPr>
                <w:rFonts w:eastAsia="Times New Roman" w:cs="Times New Roman"/>
                <w:color w:val="000000"/>
                <w:sz w:val="22"/>
                <w:szCs w:val="22"/>
              </w:rPr>
            </w:pPr>
            <w:r w:rsidRPr="0094401B">
              <w:rPr>
                <w:rFonts w:eastAsia="Times New Roman" w:cs="Times New Roman"/>
                <w:color w:val="000000"/>
                <w:sz w:val="22"/>
                <w:szCs w:val="22"/>
              </w:rPr>
              <w:t>Agree</w:t>
            </w:r>
          </w:p>
        </w:tc>
        <w:tc>
          <w:tcPr>
            <w:tcW w:w="1131" w:type="pct"/>
            <w:tcBorders>
              <w:top w:val="nil"/>
              <w:left w:val="nil"/>
              <w:bottom w:val="nil"/>
              <w:right w:val="nil"/>
            </w:tcBorders>
            <w:shd w:val="clear" w:color="auto" w:fill="auto"/>
            <w:noWrap/>
            <w:vAlign w:val="bottom"/>
            <w:hideMark/>
          </w:tcPr>
          <w:p w14:paraId="55A50F1D"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46.20%</w:t>
            </w:r>
          </w:p>
        </w:tc>
        <w:tc>
          <w:tcPr>
            <w:tcW w:w="1290" w:type="pct"/>
            <w:tcBorders>
              <w:top w:val="nil"/>
              <w:left w:val="nil"/>
              <w:bottom w:val="nil"/>
              <w:right w:val="nil"/>
            </w:tcBorders>
            <w:shd w:val="clear" w:color="auto" w:fill="auto"/>
            <w:noWrap/>
            <w:vAlign w:val="bottom"/>
            <w:hideMark/>
          </w:tcPr>
          <w:p w14:paraId="38419FFB"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16.50%</w:t>
            </w:r>
          </w:p>
        </w:tc>
        <w:tc>
          <w:tcPr>
            <w:tcW w:w="701" w:type="pct"/>
            <w:tcBorders>
              <w:top w:val="nil"/>
              <w:left w:val="nil"/>
              <w:bottom w:val="nil"/>
              <w:right w:val="nil"/>
            </w:tcBorders>
            <w:shd w:val="clear" w:color="auto" w:fill="auto"/>
            <w:noWrap/>
            <w:vAlign w:val="bottom"/>
            <w:hideMark/>
          </w:tcPr>
          <w:p w14:paraId="48A32EDC"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43.40%</w:t>
            </w:r>
          </w:p>
        </w:tc>
        <w:tc>
          <w:tcPr>
            <w:tcW w:w="1013" w:type="pct"/>
            <w:tcBorders>
              <w:top w:val="nil"/>
              <w:left w:val="nil"/>
              <w:bottom w:val="nil"/>
              <w:right w:val="nil"/>
            </w:tcBorders>
            <w:shd w:val="clear" w:color="auto" w:fill="auto"/>
            <w:noWrap/>
            <w:vAlign w:val="bottom"/>
            <w:hideMark/>
          </w:tcPr>
          <w:p w14:paraId="37497D1F"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36.20%</w:t>
            </w:r>
          </w:p>
        </w:tc>
      </w:tr>
      <w:tr w:rsidR="00ED6621" w:rsidRPr="0094401B" w14:paraId="144432BB" w14:textId="77777777" w:rsidTr="00693273">
        <w:trPr>
          <w:gridBefore w:val="1"/>
          <w:wBefore w:w="289" w:type="pct"/>
          <w:trHeight w:val="280"/>
        </w:trPr>
        <w:tc>
          <w:tcPr>
            <w:tcW w:w="576" w:type="pct"/>
            <w:gridSpan w:val="2"/>
            <w:tcBorders>
              <w:top w:val="nil"/>
              <w:left w:val="nil"/>
              <w:bottom w:val="single" w:sz="4" w:space="0" w:color="000000"/>
              <w:right w:val="nil"/>
            </w:tcBorders>
            <w:shd w:val="clear" w:color="D9D9D9" w:fill="D9D9D9"/>
            <w:noWrap/>
            <w:vAlign w:val="bottom"/>
            <w:hideMark/>
          </w:tcPr>
          <w:p w14:paraId="76395F81" w14:textId="77777777" w:rsidR="00ED6621" w:rsidRPr="0094401B" w:rsidRDefault="00ED6621" w:rsidP="00693273">
            <w:pPr>
              <w:rPr>
                <w:rFonts w:eastAsia="Times New Roman" w:cs="Times New Roman"/>
                <w:color w:val="000000"/>
                <w:sz w:val="22"/>
                <w:szCs w:val="22"/>
              </w:rPr>
            </w:pPr>
            <w:r w:rsidRPr="0094401B">
              <w:rPr>
                <w:rFonts w:eastAsia="Times New Roman" w:cs="Times New Roman"/>
                <w:color w:val="000000"/>
                <w:sz w:val="22"/>
                <w:szCs w:val="22"/>
              </w:rPr>
              <w:t xml:space="preserve">Strongly Agree </w:t>
            </w:r>
          </w:p>
        </w:tc>
        <w:tc>
          <w:tcPr>
            <w:tcW w:w="1131" w:type="pct"/>
            <w:tcBorders>
              <w:top w:val="nil"/>
              <w:left w:val="nil"/>
              <w:bottom w:val="single" w:sz="4" w:space="0" w:color="000000"/>
              <w:right w:val="nil"/>
            </w:tcBorders>
            <w:shd w:val="clear" w:color="D9D9D9" w:fill="D9D9D9"/>
            <w:noWrap/>
            <w:vAlign w:val="bottom"/>
            <w:hideMark/>
          </w:tcPr>
          <w:p w14:paraId="1211BD9E"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25.10%</w:t>
            </w:r>
          </w:p>
        </w:tc>
        <w:tc>
          <w:tcPr>
            <w:tcW w:w="1290" w:type="pct"/>
            <w:tcBorders>
              <w:top w:val="nil"/>
              <w:left w:val="nil"/>
              <w:bottom w:val="single" w:sz="4" w:space="0" w:color="000000"/>
              <w:right w:val="nil"/>
            </w:tcBorders>
            <w:shd w:val="clear" w:color="D9D9D9" w:fill="D9D9D9"/>
            <w:noWrap/>
            <w:vAlign w:val="bottom"/>
            <w:hideMark/>
          </w:tcPr>
          <w:p w14:paraId="4DA423A6" w14:textId="77777777" w:rsidR="00ED6621" w:rsidRPr="0094401B" w:rsidRDefault="00ED6621" w:rsidP="00693273">
            <w:pPr>
              <w:jc w:val="center"/>
              <w:rPr>
                <w:rFonts w:eastAsia="Times New Roman" w:cs="Times New Roman"/>
                <w:color w:val="000000"/>
                <w:sz w:val="22"/>
                <w:szCs w:val="22"/>
              </w:rPr>
            </w:pPr>
            <w:r w:rsidRPr="0094401B">
              <w:rPr>
                <w:rFonts w:eastAsia="Times New Roman" w:cs="Times New Roman"/>
                <w:color w:val="000000"/>
                <w:sz w:val="22"/>
                <w:szCs w:val="22"/>
              </w:rPr>
              <w:t>1.40%</w:t>
            </w:r>
          </w:p>
        </w:tc>
        <w:tc>
          <w:tcPr>
            <w:tcW w:w="701" w:type="pct"/>
            <w:tcBorders>
              <w:top w:val="nil"/>
              <w:left w:val="nil"/>
              <w:bottom w:val="single" w:sz="4" w:space="0" w:color="000000"/>
              <w:right w:val="nil"/>
            </w:tcBorders>
            <w:shd w:val="clear" w:color="D9D9D9" w:fill="D9D9D9"/>
            <w:noWrap/>
            <w:vAlign w:val="bottom"/>
            <w:hideMark/>
          </w:tcPr>
          <w:p w14:paraId="2CF87B8F"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45.50%</w:t>
            </w:r>
          </w:p>
        </w:tc>
        <w:tc>
          <w:tcPr>
            <w:tcW w:w="1013" w:type="pct"/>
            <w:tcBorders>
              <w:top w:val="nil"/>
              <w:left w:val="nil"/>
              <w:bottom w:val="single" w:sz="4" w:space="0" w:color="000000"/>
              <w:right w:val="nil"/>
            </w:tcBorders>
            <w:shd w:val="clear" w:color="D9D9D9" w:fill="D9D9D9"/>
            <w:noWrap/>
            <w:vAlign w:val="bottom"/>
            <w:hideMark/>
          </w:tcPr>
          <w:p w14:paraId="53A8F823" w14:textId="77777777" w:rsidR="00ED6621" w:rsidRPr="0094401B" w:rsidRDefault="00ED6621" w:rsidP="00693273">
            <w:pPr>
              <w:jc w:val="right"/>
              <w:rPr>
                <w:rFonts w:eastAsia="Times New Roman" w:cs="Times New Roman"/>
                <w:color w:val="000000"/>
                <w:sz w:val="22"/>
                <w:szCs w:val="22"/>
              </w:rPr>
            </w:pPr>
            <w:r w:rsidRPr="0094401B">
              <w:rPr>
                <w:rFonts w:eastAsia="Times New Roman" w:cs="Times New Roman"/>
                <w:color w:val="000000"/>
                <w:sz w:val="22"/>
                <w:szCs w:val="22"/>
              </w:rPr>
              <w:t>18.60%</w:t>
            </w:r>
          </w:p>
        </w:tc>
      </w:tr>
    </w:tbl>
    <w:p w14:paraId="1848F872" w14:textId="2FB80197" w:rsidR="009C120D" w:rsidRPr="00831312" w:rsidRDefault="00C12705" w:rsidP="00FD64DD">
      <w:pPr>
        <w:spacing w:line="480" w:lineRule="auto"/>
        <w:jc w:val="center"/>
        <w:rPr>
          <w:rFonts w:cs="Times New Roman"/>
          <w:color w:val="000000"/>
          <w:sz w:val="20"/>
          <w:szCs w:val="20"/>
        </w:rPr>
      </w:pPr>
      <w:r>
        <w:rPr>
          <w:rFonts w:cs="Times New Roman"/>
          <w:color w:val="000000"/>
          <w:sz w:val="20"/>
          <w:szCs w:val="20"/>
        </w:rPr>
        <w:t>Table 1</w:t>
      </w:r>
      <w:r w:rsidR="009C120D" w:rsidRPr="00831312">
        <w:rPr>
          <w:rFonts w:cs="Times New Roman"/>
          <w:color w:val="000000"/>
          <w:sz w:val="20"/>
          <w:szCs w:val="20"/>
        </w:rPr>
        <w:t>: Environmental Consciousness</w:t>
      </w:r>
    </w:p>
    <w:p w14:paraId="426FE8D5" w14:textId="77777777" w:rsidR="009C120D" w:rsidRPr="00831312" w:rsidRDefault="009C120D" w:rsidP="00A12607">
      <w:pPr>
        <w:spacing w:line="480" w:lineRule="auto"/>
        <w:rPr>
          <w:rFonts w:cs="Times New Roman"/>
          <w:color w:val="000000"/>
          <w:sz w:val="20"/>
          <w:szCs w:val="20"/>
        </w:rPr>
      </w:pPr>
    </w:p>
    <w:p w14:paraId="7966859E" w14:textId="681ABB8F" w:rsidR="008E6399" w:rsidRDefault="00AE07AE" w:rsidP="00805C6F">
      <w:pPr>
        <w:spacing w:line="480" w:lineRule="auto"/>
        <w:ind w:firstLine="720"/>
        <w:rPr>
          <w:rFonts w:cs="Times New Roman"/>
          <w:sz w:val="20"/>
          <w:szCs w:val="20"/>
        </w:rPr>
      </w:pPr>
      <w:r>
        <w:rPr>
          <w:rFonts w:cs="Times New Roman"/>
          <w:color w:val="000000"/>
        </w:rPr>
        <w:t>The survey also indicated that</w:t>
      </w:r>
      <w:r w:rsidR="008B7F94">
        <w:rPr>
          <w:rFonts w:cs="Times New Roman"/>
          <w:color w:val="000000"/>
        </w:rPr>
        <w:t xml:space="preserve"> Millennials’ environmental consciousness </w:t>
      </w:r>
      <w:r w:rsidR="00B557DA">
        <w:rPr>
          <w:rFonts w:cs="Times New Roman"/>
          <w:color w:val="000000"/>
        </w:rPr>
        <w:t>is a significant factor in</w:t>
      </w:r>
      <w:r w:rsidR="008B7F94">
        <w:rPr>
          <w:rFonts w:cs="Times New Roman"/>
          <w:color w:val="000000"/>
        </w:rPr>
        <w:t xml:space="preserve"> their purchasing decisions. </w:t>
      </w:r>
      <w:r w:rsidR="00E1671E">
        <w:rPr>
          <w:rFonts w:cs="Times New Roman"/>
          <w:color w:val="000000"/>
        </w:rPr>
        <w:t>2</w:t>
      </w:r>
      <w:r w:rsidR="00796E69">
        <w:rPr>
          <w:rFonts w:cs="Times New Roman"/>
          <w:color w:val="000000"/>
        </w:rPr>
        <w:t>5</w:t>
      </w:r>
      <w:r w:rsidR="00E1671E">
        <w:rPr>
          <w:rFonts w:cs="Times New Roman"/>
          <w:color w:val="000000"/>
        </w:rPr>
        <w:t>.10%</w:t>
      </w:r>
      <w:r w:rsidR="00E0733F" w:rsidRPr="0094401B">
        <w:rPr>
          <w:rFonts w:cs="Times New Roman"/>
          <w:color w:val="000000"/>
        </w:rPr>
        <w:t xml:space="preserve"> of respondents claimed </w:t>
      </w:r>
      <w:r w:rsidR="00E1671E">
        <w:rPr>
          <w:rFonts w:cs="Times New Roman"/>
          <w:color w:val="000000"/>
        </w:rPr>
        <w:t>to strongly agree</w:t>
      </w:r>
      <w:r w:rsidR="00E0733F" w:rsidRPr="0094401B">
        <w:rPr>
          <w:rFonts w:cs="Times New Roman"/>
          <w:color w:val="000000"/>
        </w:rPr>
        <w:t xml:space="preserve"> they would </w:t>
      </w:r>
      <w:r w:rsidR="00E1671E">
        <w:rPr>
          <w:rFonts w:cs="Times New Roman"/>
          <w:color w:val="000000"/>
        </w:rPr>
        <w:t xml:space="preserve">be more willing to </w:t>
      </w:r>
      <w:r w:rsidR="00E0733F" w:rsidRPr="0094401B">
        <w:rPr>
          <w:rFonts w:cs="Times New Roman"/>
          <w:color w:val="000000"/>
        </w:rPr>
        <w:t xml:space="preserve">purchase </w:t>
      </w:r>
      <w:r w:rsidR="00E1671E">
        <w:rPr>
          <w:rFonts w:cs="Times New Roman"/>
          <w:color w:val="000000"/>
        </w:rPr>
        <w:t xml:space="preserve">products from a company with a strong </w:t>
      </w:r>
      <w:r w:rsidR="00E0733F" w:rsidRPr="0094401B">
        <w:rPr>
          <w:rFonts w:cs="Times New Roman"/>
          <w:color w:val="000000"/>
        </w:rPr>
        <w:t xml:space="preserve">environmental commitment, </w:t>
      </w:r>
      <w:r w:rsidR="00B557DA">
        <w:rPr>
          <w:rFonts w:cs="Times New Roman"/>
          <w:color w:val="000000"/>
        </w:rPr>
        <w:t>and</w:t>
      </w:r>
      <w:r w:rsidR="00E0733F" w:rsidRPr="0094401B">
        <w:rPr>
          <w:rFonts w:cs="Times New Roman"/>
          <w:color w:val="000000"/>
        </w:rPr>
        <w:t xml:space="preserve"> 54.8% of respondents agreed to some level </w:t>
      </w:r>
      <w:r w:rsidR="00B557DA">
        <w:rPr>
          <w:rFonts w:cs="Times New Roman"/>
          <w:color w:val="000000"/>
        </w:rPr>
        <w:t xml:space="preserve">that they would be willing to </w:t>
      </w:r>
      <w:r w:rsidR="00E0733F" w:rsidRPr="0094401B">
        <w:rPr>
          <w:rFonts w:cs="Times New Roman"/>
          <w:color w:val="000000"/>
        </w:rPr>
        <w:t xml:space="preserve">pay extra for an environmentally friendly product. </w:t>
      </w:r>
      <w:r w:rsidR="00F03FE6" w:rsidRPr="006D0788">
        <w:rPr>
          <w:rFonts w:cs="Times New Roman"/>
          <w:color w:val="000000"/>
        </w:rPr>
        <w:t>However</w:t>
      </w:r>
      <w:r w:rsidR="00E0733F" w:rsidRPr="006D0788">
        <w:rPr>
          <w:rFonts w:cs="Times New Roman"/>
          <w:color w:val="000000"/>
        </w:rPr>
        <w:t xml:space="preserve">, only 1.4% strongly agreed that they could identify </w:t>
      </w:r>
      <w:r w:rsidR="00F03FE6" w:rsidRPr="006D0788">
        <w:rPr>
          <w:rFonts w:cs="Times New Roman"/>
          <w:color w:val="000000"/>
        </w:rPr>
        <w:t xml:space="preserve">representative </w:t>
      </w:r>
      <w:r w:rsidR="00E0733F" w:rsidRPr="006D0788">
        <w:rPr>
          <w:rFonts w:cs="Times New Roman"/>
          <w:color w:val="000000"/>
        </w:rPr>
        <w:t xml:space="preserve">environmental commitment from </w:t>
      </w:r>
      <w:r w:rsidR="00F03FE6" w:rsidRPr="006D0788">
        <w:rPr>
          <w:rFonts w:cs="Times New Roman"/>
          <w:color w:val="000000"/>
        </w:rPr>
        <w:t>labels</w:t>
      </w:r>
      <w:r w:rsidR="00E0733F" w:rsidRPr="006D0788">
        <w:rPr>
          <w:rFonts w:cs="Times New Roman"/>
          <w:color w:val="000000"/>
        </w:rPr>
        <w:t xml:space="preserve">, </w:t>
      </w:r>
      <w:r w:rsidR="00F03FE6" w:rsidRPr="006D0788">
        <w:rPr>
          <w:rFonts w:cs="Times New Roman"/>
          <w:color w:val="000000"/>
        </w:rPr>
        <w:t>while</w:t>
      </w:r>
      <w:r w:rsidR="00E0733F" w:rsidRPr="006D0788">
        <w:rPr>
          <w:rFonts w:cs="Times New Roman"/>
          <w:color w:val="000000"/>
        </w:rPr>
        <w:t xml:space="preserve"> 70.6% were either unsure</w:t>
      </w:r>
      <w:r w:rsidR="00F03FE6" w:rsidRPr="006D0788">
        <w:rPr>
          <w:rFonts w:cs="Times New Roman"/>
          <w:color w:val="000000"/>
        </w:rPr>
        <w:t xml:space="preserve"> of their ability</w:t>
      </w:r>
      <w:r w:rsidR="00E0733F" w:rsidRPr="006D0788">
        <w:rPr>
          <w:rFonts w:cs="Times New Roman"/>
          <w:color w:val="000000"/>
        </w:rPr>
        <w:t xml:space="preserve"> or disagreed.</w:t>
      </w:r>
      <w:r w:rsidR="00E0733F" w:rsidRPr="0094401B">
        <w:rPr>
          <w:rFonts w:cs="Times New Roman"/>
          <w:color w:val="000000"/>
        </w:rPr>
        <w:t xml:space="preserve"> </w:t>
      </w:r>
    </w:p>
    <w:p w14:paraId="262A67D0" w14:textId="77777777" w:rsidR="008E6399" w:rsidRDefault="008E6399" w:rsidP="008E6399">
      <w:pPr>
        <w:rPr>
          <w:rFonts w:cs="Times New Roman"/>
          <w:sz w:val="20"/>
          <w:szCs w:val="20"/>
        </w:rPr>
      </w:pPr>
    </w:p>
    <w:p w14:paraId="416C0BFB" w14:textId="7DF1648C" w:rsidR="009C120D" w:rsidRPr="008E6399" w:rsidRDefault="007F0064" w:rsidP="00A12607">
      <w:pPr>
        <w:spacing w:line="480" w:lineRule="auto"/>
        <w:rPr>
          <w:rFonts w:cs="Times New Roman"/>
          <w:sz w:val="20"/>
          <w:szCs w:val="20"/>
        </w:rPr>
      </w:pPr>
      <w:proofErr w:type="gramStart"/>
      <w:r>
        <w:rPr>
          <w:b/>
        </w:rPr>
        <w:t>Environmental Considerations Variably Factor into Purchasing Behaviors</w:t>
      </w:r>
      <w:r w:rsidR="009C120D" w:rsidRPr="0094401B">
        <w:rPr>
          <w:rFonts w:cs="Times New Roman"/>
          <w:i/>
          <w:color w:val="000000"/>
        </w:rPr>
        <w:t>.</w:t>
      </w:r>
      <w:proofErr w:type="gramEnd"/>
      <w:r w:rsidR="009C120D" w:rsidRPr="0094401B">
        <w:rPr>
          <w:rFonts w:cs="Times New Roman"/>
          <w:i/>
          <w:color w:val="000000"/>
        </w:rPr>
        <w:t xml:space="preserve"> </w:t>
      </w:r>
    </w:p>
    <w:p w14:paraId="0E70B954" w14:textId="6A0A56C6" w:rsidR="009C120D" w:rsidRPr="0018058B" w:rsidRDefault="009C120D" w:rsidP="00AF5B51">
      <w:pPr>
        <w:spacing w:line="480" w:lineRule="auto"/>
        <w:rPr>
          <w:rFonts w:cs="Times New Roman"/>
          <w:color w:val="000000"/>
        </w:rPr>
      </w:pPr>
      <w:r>
        <w:rPr>
          <w:rFonts w:cs="Times New Roman"/>
          <w:color w:val="000000"/>
        </w:rPr>
        <w:tab/>
      </w:r>
      <w:r w:rsidR="00D95659" w:rsidRPr="00A6748C">
        <w:rPr>
          <w:rFonts w:cs="Times New Roman"/>
        </w:rPr>
        <w:t>Environmental tendencies in purchasing behaviors</w:t>
      </w:r>
      <w:r w:rsidR="00D95659">
        <w:rPr>
          <w:rFonts w:cs="Times New Roman"/>
          <w:color w:val="000000"/>
        </w:rPr>
        <w:t xml:space="preserve"> vary widely between Environmentalists and Non-Environmentalists</w:t>
      </w:r>
      <w:r>
        <w:rPr>
          <w:rFonts w:cs="Times New Roman"/>
          <w:color w:val="000000"/>
        </w:rPr>
        <w:t xml:space="preserve">. </w:t>
      </w:r>
      <w:r w:rsidR="00D95659">
        <w:rPr>
          <w:rFonts w:cs="Times New Roman"/>
          <w:color w:val="000000"/>
        </w:rPr>
        <w:t>Overall, Environmentalists were more likely to purchase green products across product categories than were Non-Environmentalists</w:t>
      </w:r>
      <w:r>
        <w:rPr>
          <w:rFonts w:cs="Times New Roman"/>
          <w:color w:val="000000"/>
        </w:rPr>
        <w:t xml:space="preserve">. </w:t>
      </w:r>
      <w:r w:rsidR="00A60131">
        <w:rPr>
          <w:rFonts w:cs="Times New Roman"/>
          <w:color w:val="000000"/>
        </w:rPr>
        <w:t>55.1% of Environmentalists</w:t>
      </w:r>
      <w:r>
        <w:rPr>
          <w:rFonts w:cs="Times New Roman"/>
          <w:color w:val="000000"/>
        </w:rPr>
        <w:t xml:space="preserve"> </w:t>
      </w:r>
      <w:r w:rsidR="00A60131">
        <w:rPr>
          <w:rFonts w:cs="Times New Roman"/>
          <w:color w:val="000000"/>
        </w:rPr>
        <w:t>indicated that</w:t>
      </w:r>
      <w:r>
        <w:rPr>
          <w:rFonts w:cs="Times New Roman"/>
          <w:color w:val="000000"/>
        </w:rPr>
        <w:t xml:space="preserve"> environmental consideratio</w:t>
      </w:r>
      <w:r w:rsidR="00A60131">
        <w:rPr>
          <w:rFonts w:cs="Times New Roman"/>
          <w:color w:val="000000"/>
        </w:rPr>
        <w:t xml:space="preserve">ns were </w:t>
      </w:r>
      <w:r w:rsidR="00E94F51">
        <w:rPr>
          <w:rFonts w:cs="Times New Roman"/>
          <w:color w:val="000000"/>
        </w:rPr>
        <w:t>very</w:t>
      </w:r>
      <w:r w:rsidR="00A60131">
        <w:rPr>
          <w:rFonts w:cs="Times New Roman"/>
          <w:color w:val="000000"/>
        </w:rPr>
        <w:t xml:space="preserve"> important when purchasing</w:t>
      </w:r>
      <w:r w:rsidR="00E94F51">
        <w:rPr>
          <w:rFonts w:cs="Times New Roman"/>
          <w:color w:val="000000"/>
        </w:rPr>
        <w:t xml:space="preserve"> food</w:t>
      </w:r>
      <w:r>
        <w:rPr>
          <w:rFonts w:cs="Times New Roman"/>
          <w:color w:val="000000"/>
        </w:rPr>
        <w:t xml:space="preserve">, </w:t>
      </w:r>
      <w:r w:rsidR="00E94F51">
        <w:rPr>
          <w:rFonts w:cs="Times New Roman"/>
          <w:color w:val="000000"/>
        </w:rPr>
        <w:t>53.5% said they were very important when buying cars, and 44.1% said they were very important when buying cleaning supplies. However, only 14.2% of Environmentalists considered environmental factors to be very important when buying clothes.</w:t>
      </w:r>
      <w:r>
        <w:rPr>
          <w:rFonts w:cs="Times New Roman"/>
          <w:color w:val="000000"/>
        </w:rPr>
        <w:t xml:space="preserve"> Non-Environmental</w:t>
      </w:r>
      <w:r w:rsidR="00E94F51">
        <w:rPr>
          <w:rFonts w:cs="Times New Roman"/>
          <w:color w:val="000000"/>
        </w:rPr>
        <w:t xml:space="preserve">ists’ value of environmental importance </w:t>
      </w:r>
      <w:r>
        <w:rPr>
          <w:rFonts w:cs="Times New Roman"/>
          <w:color w:val="000000"/>
        </w:rPr>
        <w:t xml:space="preserve">followed similar trends </w:t>
      </w:r>
      <w:r w:rsidR="00E94F51">
        <w:rPr>
          <w:rFonts w:cs="Times New Roman"/>
          <w:color w:val="000000"/>
        </w:rPr>
        <w:t>across product categories, with 28.9% indicating environmental considerations to be especially important when buying cars, 22.4% when buying food</w:t>
      </w:r>
      <w:r>
        <w:rPr>
          <w:rFonts w:cs="Times New Roman"/>
          <w:color w:val="000000"/>
        </w:rPr>
        <w:t>, and</w:t>
      </w:r>
      <w:r w:rsidR="00E94F51">
        <w:rPr>
          <w:rFonts w:cs="Times New Roman"/>
          <w:color w:val="000000"/>
        </w:rPr>
        <w:t xml:space="preserve"> 17.8% when buying </w:t>
      </w:r>
      <w:r>
        <w:rPr>
          <w:rFonts w:cs="Times New Roman"/>
          <w:color w:val="000000"/>
        </w:rPr>
        <w:t>cleaning supplies.</w:t>
      </w:r>
      <w:r w:rsidR="00E94F51">
        <w:rPr>
          <w:rStyle w:val="FootnoteReference"/>
          <w:rFonts w:cs="Times New Roman"/>
          <w:color w:val="000000"/>
        </w:rPr>
        <w:footnoteReference w:id="4"/>
      </w:r>
    </w:p>
    <w:p w14:paraId="725EC8A0" w14:textId="77777777" w:rsidR="009C120D" w:rsidRDefault="009C120D" w:rsidP="00853BC7">
      <w:pPr>
        <w:rPr>
          <w:rFonts w:cs="Times New Roman"/>
          <w:color w:val="000000"/>
        </w:rPr>
      </w:pPr>
    </w:p>
    <w:p w14:paraId="3943840F" w14:textId="77777777" w:rsidR="009C120D" w:rsidRPr="003A08C6" w:rsidRDefault="009C120D" w:rsidP="00A12607">
      <w:pPr>
        <w:spacing w:line="480" w:lineRule="auto"/>
        <w:rPr>
          <w:rFonts w:cs="Times New Roman"/>
          <w:b/>
          <w:color w:val="000000"/>
        </w:rPr>
      </w:pPr>
      <w:r w:rsidRPr="003A08C6">
        <w:rPr>
          <w:rFonts w:cs="Times New Roman"/>
          <w:b/>
          <w:color w:val="000000"/>
        </w:rPr>
        <w:t xml:space="preserve">Millennials put little consumer pressure on companies to go green. </w:t>
      </w:r>
    </w:p>
    <w:p w14:paraId="329FDC72" w14:textId="1BD82524" w:rsidR="00FA2194" w:rsidRDefault="00FA2194" w:rsidP="00B41624">
      <w:pPr>
        <w:spacing w:line="480" w:lineRule="auto"/>
        <w:ind w:firstLine="720"/>
        <w:rPr>
          <w:rFonts w:cs="Times New Roman"/>
          <w:color w:val="000000"/>
        </w:rPr>
      </w:pPr>
      <w:r>
        <w:rPr>
          <w:rFonts w:cs="Times New Roman"/>
          <w:color w:val="000000"/>
        </w:rPr>
        <w:t xml:space="preserve">Despite 2510% of respondents strongly agreeing that they would be willing to pay more for products with strong environmental brand association, and 18.60% of respondents strongly agreeing that they would be willing to pay more for eco-friendly products, only 7% of the sample population said that they always buy green products. </w:t>
      </w:r>
    </w:p>
    <w:p w14:paraId="6E2DF682" w14:textId="3892568E" w:rsidR="009C120D" w:rsidRDefault="009C120D" w:rsidP="00A12607">
      <w:pPr>
        <w:spacing w:line="480" w:lineRule="auto"/>
        <w:ind w:firstLine="720"/>
        <w:rPr>
          <w:rFonts w:cs="Times New Roman"/>
          <w:color w:val="000000"/>
        </w:rPr>
      </w:pPr>
      <w:r w:rsidRPr="0094401B">
        <w:rPr>
          <w:rFonts w:cs="Times New Roman"/>
          <w:color w:val="000000"/>
        </w:rPr>
        <w:t>When Millennials are pressured to reveal</w:t>
      </w:r>
      <w:r w:rsidR="00497AA4">
        <w:rPr>
          <w:rFonts w:cs="Times New Roman"/>
          <w:color w:val="000000"/>
        </w:rPr>
        <w:t xml:space="preserve"> the</w:t>
      </w:r>
      <w:r w:rsidR="005B64AE">
        <w:rPr>
          <w:rFonts w:cs="Times New Roman"/>
          <w:color w:val="000000"/>
        </w:rPr>
        <w:t xml:space="preserve"> reality of their green consumption</w:t>
      </w:r>
      <w:r w:rsidR="005938A2">
        <w:rPr>
          <w:rFonts w:cs="Times New Roman"/>
          <w:color w:val="000000"/>
        </w:rPr>
        <w:t xml:space="preserve"> habits</w:t>
      </w:r>
      <w:r w:rsidRPr="0094401B">
        <w:rPr>
          <w:rFonts w:cs="Times New Roman"/>
          <w:color w:val="000000"/>
        </w:rPr>
        <w:t>, they no longer appear to be as environmental</w:t>
      </w:r>
      <w:r w:rsidR="005B64AE">
        <w:rPr>
          <w:rFonts w:cs="Times New Roman"/>
          <w:color w:val="000000"/>
        </w:rPr>
        <w:t>ly</w:t>
      </w:r>
      <w:r w:rsidRPr="0094401B">
        <w:rPr>
          <w:rFonts w:cs="Times New Roman"/>
          <w:color w:val="000000"/>
        </w:rPr>
        <w:t xml:space="preserve"> conscious as prior results may indicate.</w:t>
      </w:r>
      <w:r>
        <w:rPr>
          <w:rFonts w:cs="Times New Roman"/>
          <w:color w:val="000000"/>
        </w:rPr>
        <w:t xml:space="preserve"> In comparing the two </w:t>
      </w:r>
      <w:proofErr w:type="gramStart"/>
      <w:r w:rsidR="00155364">
        <w:rPr>
          <w:rFonts w:cs="Times New Roman"/>
          <w:color w:val="000000"/>
        </w:rPr>
        <w:t>Millennial</w:t>
      </w:r>
      <w:proofErr w:type="gramEnd"/>
      <w:r w:rsidR="00155364">
        <w:rPr>
          <w:rFonts w:cs="Times New Roman"/>
          <w:color w:val="000000"/>
        </w:rPr>
        <w:t xml:space="preserve"> </w:t>
      </w:r>
      <w:r>
        <w:rPr>
          <w:rFonts w:cs="Times New Roman"/>
          <w:color w:val="000000"/>
        </w:rPr>
        <w:t xml:space="preserve">groups, </w:t>
      </w:r>
      <w:r w:rsidR="00155364">
        <w:rPr>
          <w:rFonts w:cs="Times New Roman"/>
          <w:color w:val="000000"/>
        </w:rPr>
        <w:t>Environmentalists</w:t>
      </w:r>
      <w:r>
        <w:rPr>
          <w:rFonts w:cs="Times New Roman"/>
          <w:color w:val="000000"/>
        </w:rPr>
        <w:t xml:space="preserve"> are more likely to buy specifically green products. </w:t>
      </w:r>
      <w:r w:rsidR="00155364">
        <w:rPr>
          <w:rFonts w:cs="Times New Roman"/>
          <w:color w:val="000000"/>
        </w:rPr>
        <w:t xml:space="preserve">However, analysis of this group in isolation </w:t>
      </w:r>
      <w:r w:rsidR="000F00DD">
        <w:rPr>
          <w:rFonts w:cs="Times New Roman"/>
          <w:color w:val="000000"/>
        </w:rPr>
        <w:t>reveals that</w:t>
      </w:r>
      <w:r>
        <w:rPr>
          <w:rFonts w:cs="Times New Roman"/>
          <w:color w:val="000000"/>
        </w:rPr>
        <w:t xml:space="preserve"> </w:t>
      </w:r>
      <w:r w:rsidR="000F00DD">
        <w:rPr>
          <w:rFonts w:cs="Times New Roman"/>
          <w:color w:val="000000"/>
        </w:rPr>
        <w:t>they are in fact</w:t>
      </w:r>
      <w:r>
        <w:rPr>
          <w:rFonts w:cs="Times New Roman"/>
          <w:color w:val="000000"/>
        </w:rPr>
        <w:t xml:space="preserve"> less green than they claim. The majority</w:t>
      </w:r>
      <w:r w:rsidR="00510E1F">
        <w:rPr>
          <w:rFonts w:cs="Times New Roman"/>
          <w:color w:val="000000"/>
        </w:rPr>
        <w:t xml:space="preserve"> of Environmental</w:t>
      </w:r>
      <w:r w:rsidR="00A71191">
        <w:rPr>
          <w:rFonts w:cs="Times New Roman"/>
          <w:color w:val="000000"/>
        </w:rPr>
        <w:t>ist</w:t>
      </w:r>
      <w:r w:rsidR="00510E1F">
        <w:rPr>
          <w:rFonts w:cs="Times New Roman"/>
          <w:color w:val="000000"/>
        </w:rPr>
        <w:t>s</w:t>
      </w:r>
      <w:r>
        <w:rPr>
          <w:rFonts w:cs="Times New Roman"/>
          <w:color w:val="000000"/>
        </w:rPr>
        <w:t xml:space="preserve">, 44.9%, </w:t>
      </w:r>
      <w:r w:rsidR="00510E1F">
        <w:rPr>
          <w:rFonts w:cs="Times New Roman"/>
          <w:color w:val="000000"/>
        </w:rPr>
        <w:t>stated that</w:t>
      </w:r>
      <w:r w:rsidR="00497AA4">
        <w:rPr>
          <w:rFonts w:cs="Times New Roman"/>
          <w:color w:val="000000"/>
        </w:rPr>
        <w:t xml:space="preserve"> they </w:t>
      </w:r>
      <w:r>
        <w:rPr>
          <w:rFonts w:cs="Times New Roman"/>
          <w:color w:val="000000"/>
        </w:rPr>
        <w:t>buy green products if it is conve</w:t>
      </w:r>
      <w:r w:rsidR="00C773E8">
        <w:rPr>
          <w:rFonts w:cs="Times New Roman"/>
          <w:color w:val="000000"/>
        </w:rPr>
        <w:t>nient, but it is not a priority. Only</w:t>
      </w:r>
      <w:r>
        <w:rPr>
          <w:rFonts w:cs="Times New Roman"/>
          <w:color w:val="000000"/>
        </w:rPr>
        <w:t xml:space="preserve"> </w:t>
      </w:r>
      <w:r w:rsidR="00C773E8">
        <w:rPr>
          <w:rFonts w:cs="Times New Roman"/>
          <w:color w:val="000000"/>
        </w:rPr>
        <w:t xml:space="preserve">13.4% of Environmentalists </w:t>
      </w:r>
      <w:r>
        <w:rPr>
          <w:rFonts w:cs="Times New Roman"/>
          <w:color w:val="000000"/>
        </w:rPr>
        <w:t xml:space="preserve">always buy green products. On the other hand, </w:t>
      </w:r>
      <w:r w:rsidR="00F85EC4">
        <w:rPr>
          <w:rFonts w:cs="Times New Roman"/>
          <w:color w:val="000000"/>
        </w:rPr>
        <w:t>less than</w:t>
      </w:r>
      <w:r>
        <w:rPr>
          <w:rFonts w:cs="Times New Roman"/>
          <w:color w:val="000000"/>
        </w:rPr>
        <w:t xml:space="preserve"> 1% said they </w:t>
      </w:r>
      <w:r w:rsidR="00F85EC4">
        <w:rPr>
          <w:rFonts w:cs="Times New Roman"/>
          <w:color w:val="000000"/>
        </w:rPr>
        <w:t>don’t usually</w:t>
      </w:r>
      <w:r w:rsidR="00C96BDE">
        <w:rPr>
          <w:rFonts w:cs="Times New Roman"/>
          <w:color w:val="000000"/>
        </w:rPr>
        <w:t xml:space="preserve"> or never</w:t>
      </w:r>
      <w:r>
        <w:rPr>
          <w:rFonts w:cs="Times New Roman"/>
          <w:color w:val="000000"/>
        </w:rPr>
        <w:t xml:space="preserve"> buy green products. Environmental</w:t>
      </w:r>
      <w:r w:rsidR="00A71191">
        <w:rPr>
          <w:rFonts w:cs="Times New Roman"/>
          <w:color w:val="000000"/>
        </w:rPr>
        <w:t>ist</w:t>
      </w:r>
      <w:r>
        <w:rPr>
          <w:rFonts w:cs="Times New Roman"/>
          <w:color w:val="000000"/>
        </w:rPr>
        <w:t>s are more likely to buy green products</w:t>
      </w:r>
      <w:r w:rsidR="00D215DA">
        <w:rPr>
          <w:rFonts w:cs="Times New Roman"/>
          <w:color w:val="000000"/>
        </w:rPr>
        <w:t xml:space="preserve"> than not</w:t>
      </w:r>
      <w:r>
        <w:rPr>
          <w:rFonts w:cs="Times New Roman"/>
          <w:color w:val="000000"/>
        </w:rPr>
        <w:t xml:space="preserve">, but it is not a </w:t>
      </w:r>
      <w:r w:rsidR="00A71191">
        <w:rPr>
          <w:rFonts w:cs="Times New Roman"/>
          <w:color w:val="000000"/>
        </w:rPr>
        <w:t>consistent</w:t>
      </w:r>
      <w:r>
        <w:rPr>
          <w:rFonts w:cs="Times New Roman"/>
          <w:color w:val="000000"/>
        </w:rPr>
        <w:t xml:space="preserve"> behavior</w:t>
      </w:r>
      <w:r w:rsidR="00A71191">
        <w:rPr>
          <w:rFonts w:cs="Times New Roman"/>
          <w:color w:val="000000"/>
        </w:rPr>
        <w:t>al</w:t>
      </w:r>
      <w:r>
        <w:rPr>
          <w:rFonts w:cs="Times New Roman"/>
          <w:color w:val="000000"/>
        </w:rPr>
        <w:t xml:space="preserve"> </w:t>
      </w:r>
      <w:r w:rsidR="00A71191">
        <w:rPr>
          <w:rFonts w:cs="Times New Roman"/>
          <w:color w:val="000000"/>
        </w:rPr>
        <w:t>trait</w:t>
      </w:r>
      <w:r>
        <w:rPr>
          <w:rFonts w:cs="Times New Roman"/>
          <w:color w:val="000000"/>
        </w:rPr>
        <w:t>. Non-Environmental</w:t>
      </w:r>
      <w:r w:rsidR="00A71191">
        <w:rPr>
          <w:rFonts w:cs="Times New Roman"/>
          <w:color w:val="000000"/>
        </w:rPr>
        <w:t>ist</w:t>
      </w:r>
      <w:r>
        <w:rPr>
          <w:rFonts w:cs="Times New Roman"/>
          <w:color w:val="000000"/>
        </w:rPr>
        <w:t>s were less</w:t>
      </w:r>
      <w:r w:rsidR="00184EEF">
        <w:rPr>
          <w:rFonts w:cs="Times New Roman"/>
          <w:color w:val="000000"/>
        </w:rPr>
        <w:t xml:space="preserve"> likely to buy green in general:</w:t>
      </w:r>
      <w:r>
        <w:rPr>
          <w:rFonts w:cs="Times New Roman"/>
          <w:color w:val="000000"/>
        </w:rPr>
        <w:t xml:space="preserve"> 64.5% said that they will </w:t>
      </w:r>
      <w:r w:rsidR="00B17D06">
        <w:rPr>
          <w:rFonts w:cs="Times New Roman"/>
          <w:color w:val="000000"/>
        </w:rPr>
        <w:t xml:space="preserve">buy green </w:t>
      </w:r>
      <w:r>
        <w:rPr>
          <w:rFonts w:cs="Times New Roman"/>
          <w:color w:val="000000"/>
        </w:rPr>
        <w:t>if it is convenient</w:t>
      </w:r>
      <w:r w:rsidR="00B17D06">
        <w:rPr>
          <w:rFonts w:cs="Times New Roman"/>
          <w:color w:val="000000"/>
        </w:rPr>
        <w:t>, but that it is not a priority;</w:t>
      </w:r>
      <w:r>
        <w:rPr>
          <w:rFonts w:cs="Times New Roman"/>
          <w:color w:val="000000"/>
        </w:rPr>
        <w:t xml:space="preserve"> </w:t>
      </w:r>
      <w:r w:rsidR="00497AA4">
        <w:rPr>
          <w:rFonts w:cs="Times New Roman"/>
          <w:color w:val="000000"/>
        </w:rPr>
        <w:t xml:space="preserve">11.8% said that they don’t usually buy green products; 2.6% said they never buy green products; </w:t>
      </w:r>
      <w:r>
        <w:rPr>
          <w:rFonts w:cs="Times New Roman"/>
          <w:color w:val="000000"/>
        </w:rPr>
        <w:t xml:space="preserve">only </w:t>
      </w:r>
      <w:r w:rsidR="00853BC7">
        <w:rPr>
          <w:rFonts w:cs="Times New Roman"/>
          <w:color w:val="000000"/>
        </w:rPr>
        <w:t>0</w:t>
      </w:r>
      <w:r>
        <w:rPr>
          <w:rFonts w:cs="Times New Roman"/>
          <w:color w:val="000000"/>
        </w:rPr>
        <w:t xml:space="preserve">.7% said that they always </w:t>
      </w:r>
      <w:r w:rsidR="00497AA4">
        <w:rPr>
          <w:rFonts w:cs="Times New Roman"/>
          <w:color w:val="000000"/>
        </w:rPr>
        <w:t>buy green products</w:t>
      </w:r>
      <w:r w:rsidR="009A757F">
        <w:rPr>
          <w:rFonts w:cs="Times New Roman"/>
          <w:color w:val="000000"/>
        </w:rPr>
        <w:t>.</w:t>
      </w:r>
      <w:r w:rsidR="009A757F">
        <w:rPr>
          <w:rStyle w:val="FootnoteReference"/>
          <w:rFonts w:cs="Times New Roman"/>
          <w:color w:val="000000"/>
        </w:rPr>
        <w:footnoteReference w:id="5"/>
      </w:r>
    </w:p>
    <w:p w14:paraId="6A2DF2F7" w14:textId="7C510B1C" w:rsidR="009C120D" w:rsidRPr="0094401B" w:rsidRDefault="009C120D" w:rsidP="000D5EBB">
      <w:pPr>
        <w:spacing w:line="480" w:lineRule="auto"/>
        <w:rPr>
          <w:rFonts w:cs="Times New Roman"/>
          <w:color w:val="000000"/>
        </w:rPr>
      </w:pPr>
    </w:p>
    <w:p w14:paraId="7FCED0C8" w14:textId="07C4D7DB" w:rsidR="009C120D" w:rsidRPr="003A08C6" w:rsidRDefault="009C120D" w:rsidP="00A12607">
      <w:pPr>
        <w:spacing w:line="480" w:lineRule="auto"/>
        <w:rPr>
          <w:rFonts w:cs="Times New Roman"/>
          <w:b/>
          <w:color w:val="000000"/>
        </w:rPr>
      </w:pPr>
      <w:r w:rsidRPr="003A08C6">
        <w:rPr>
          <w:rFonts w:cs="Times New Roman"/>
          <w:b/>
          <w:color w:val="000000"/>
        </w:rPr>
        <w:t xml:space="preserve"> </w:t>
      </w:r>
      <w:r w:rsidR="007F0064">
        <w:rPr>
          <w:b/>
        </w:rPr>
        <w:t>Brand Loyalty Matters</w:t>
      </w:r>
    </w:p>
    <w:p w14:paraId="0E0464DE" w14:textId="5FADF38A" w:rsidR="009C120D" w:rsidRPr="008526CD" w:rsidRDefault="00321A1C" w:rsidP="008526CD">
      <w:pPr>
        <w:spacing w:line="480" w:lineRule="auto"/>
        <w:ind w:firstLine="720"/>
        <w:rPr>
          <w:rFonts w:cs="Times New Roman"/>
          <w:color w:val="000000"/>
        </w:rPr>
      </w:pPr>
      <w:r>
        <w:rPr>
          <w:rFonts w:cs="Times New Roman"/>
          <w:color w:val="000000"/>
        </w:rPr>
        <w:t xml:space="preserve">When presented with an artificial </w:t>
      </w:r>
      <w:r w:rsidR="009C120D" w:rsidRPr="0094401B">
        <w:rPr>
          <w:rFonts w:cs="Times New Roman"/>
          <w:color w:val="000000"/>
        </w:rPr>
        <w:t xml:space="preserve">purchasing scenario, environmental concerns </w:t>
      </w:r>
      <w:r w:rsidR="0019289D">
        <w:rPr>
          <w:rFonts w:cs="Times New Roman"/>
          <w:color w:val="000000"/>
        </w:rPr>
        <w:t xml:space="preserve">are rarely </w:t>
      </w:r>
      <w:r w:rsidR="009C120D" w:rsidRPr="0094401B">
        <w:rPr>
          <w:rFonts w:cs="Times New Roman"/>
          <w:color w:val="000000"/>
        </w:rPr>
        <w:t>reflected in purchasing behavior</w:t>
      </w:r>
      <w:r w:rsidR="0019289D">
        <w:rPr>
          <w:rFonts w:cs="Times New Roman"/>
          <w:color w:val="000000"/>
        </w:rPr>
        <w:t>s</w:t>
      </w:r>
      <w:r w:rsidR="009C120D">
        <w:rPr>
          <w:rFonts w:cs="Times New Roman"/>
          <w:color w:val="000000"/>
        </w:rPr>
        <w:t xml:space="preserve"> of both the Environmental</w:t>
      </w:r>
      <w:r w:rsidR="0019289D">
        <w:rPr>
          <w:rFonts w:cs="Times New Roman"/>
          <w:color w:val="000000"/>
        </w:rPr>
        <w:t>ist</w:t>
      </w:r>
      <w:r w:rsidR="009C120D">
        <w:rPr>
          <w:rFonts w:cs="Times New Roman"/>
          <w:color w:val="000000"/>
        </w:rPr>
        <w:t>s and the Non-Environmental</w:t>
      </w:r>
      <w:r w:rsidR="0019289D">
        <w:rPr>
          <w:rFonts w:cs="Times New Roman"/>
          <w:color w:val="000000"/>
        </w:rPr>
        <w:t>ist</w:t>
      </w:r>
      <w:r w:rsidR="009C120D">
        <w:rPr>
          <w:rFonts w:cs="Times New Roman"/>
          <w:color w:val="000000"/>
        </w:rPr>
        <w:t>s</w:t>
      </w:r>
      <w:r w:rsidR="009C120D" w:rsidRPr="0094401B">
        <w:rPr>
          <w:rFonts w:cs="Times New Roman"/>
          <w:color w:val="000000"/>
        </w:rPr>
        <w:t xml:space="preserve">. </w:t>
      </w:r>
      <w:r w:rsidR="00BE7ADC">
        <w:rPr>
          <w:rFonts w:cs="Times New Roman"/>
          <w:color w:val="000000"/>
        </w:rPr>
        <w:t xml:space="preserve">The survey asked respondents to rank their preferences </w:t>
      </w:r>
      <w:r w:rsidR="00667FCD">
        <w:rPr>
          <w:rFonts w:cs="Times New Roman"/>
          <w:color w:val="000000"/>
        </w:rPr>
        <w:t xml:space="preserve">for different brands of cookies and laundry detergent that represented different market niches, including a mainstream well-known brand, a well-known environmentally friendly brand, lesser-known environmental brands, and </w:t>
      </w:r>
      <w:r w:rsidR="009F4ED6">
        <w:rPr>
          <w:rFonts w:cs="Times New Roman"/>
          <w:color w:val="000000"/>
        </w:rPr>
        <w:t xml:space="preserve">a generic low-cost brand. </w:t>
      </w:r>
      <w:r w:rsidR="00F42CC4">
        <w:rPr>
          <w:rFonts w:cs="Times New Roman"/>
          <w:color w:val="000000"/>
        </w:rPr>
        <w:t xml:space="preserve">For the entire sample population, </w:t>
      </w:r>
      <w:r w:rsidR="00BE7ADC">
        <w:rPr>
          <w:rFonts w:cs="Times New Roman"/>
          <w:color w:val="000000"/>
        </w:rPr>
        <w:t>purchasing tendencies favored</w:t>
      </w:r>
      <w:r w:rsidR="009C120D" w:rsidRPr="0094401B">
        <w:rPr>
          <w:rFonts w:cs="Times New Roman"/>
          <w:color w:val="000000"/>
        </w:rPr>
        <w:t xml:space="preserve"> </w:t>
      </w:r>
      <w:r w:rsidR="009F4ED6">
        <w:rPr>
          <w:rFonts w:cs="Times New Roman"/>
          <w:color w:val="000000"/>
        </w:rPr>
        <w:t xml:space="preserve">the mainstream well-known brands for both cookies and detergent: </w:t>
      </w:r>
      <w:r w:rsidR="009C120D" w:rsidRPr="0094401B">
        <w:rPr>
          <w:rFonts w:cs="Times New Roman"/>
          <w:color w:val="000000"/>
        </w:rPr>
        <w:t xml:space="preserve">68.2% </w:t>
      </w:r>
      <w:r w:rsidR="009F4ED6">
        <w:rPr>
          <w:rFonts w:cs="Times New Roman"/>
          <w:color w:val="000000"/>
        </w:rPr>
        <w:t>of respondents chose</w:t>
      </w:r>
      <w:r w:rsidR="009C120D" w:rsidRPr="0094401B">
        <w:rPr>
          <w:rFonts w:cs="Times New Roman"/>
          <w:color w:val="000000"/>
        </w:rPr>
        <w:t xml:space="preserve"> Oreo</w:t>
      </w:r>
      <w:r w:rsidR="009F4ED6">
        <w:rPr>
          <w:rFonts w:cs="Times New Roman"/>
          <w:color w:val="000000"/>
        </w:rPr>
        <w:t>s as their first choice,</w:t>
      </w:r>
      <w:r w:rsidR="009C120D" w:rsidRPr="0094401B">
        <w:rPr>
          <w:rFonts w:cs="Times New Roman"/>
          <w:color w:val="000000"/>
        </w:rPr>
        <w:t xml:space="preserve"> and 56.3% chose Tide.</w:t>
      </w:r>
      <w:r w:rsidR="00103AEF">
        <w:rPr>
          <w:rStyle w:val="FootnoteReference"/>
          <w:rFonts w:cs="Times New Roman"/>
          <w:color w:val="000000"/>
        </w:rPr>
        <w:footnoteReference w:id="6"/>
      </w:r>
      <w:r w:rsidR="009C120D" w:rsidRPr="0094401B">
        <w:rPr>
          <w:rFonts w:cs="Times New Roman"/>
          <w:color w:val="000000"/>
        </w:rPr>
        <w:t xml:space="preserve"> </w:t>
      </w:r>
    </w:p>
    <w:p w14:paraId="5A9B6545" w14:textId="57FF5436" w:rsidR="009C120D" w:rsidRDefault="009C120D" w:rsidP="000269B2">
      <w:pPr>
        <w:spacing w:line="480" w:lineRule="auto"/>
        <w:ind w:firstLine="720"/>
        <w:rPr>
          <w:rFonts w:cs="Times New Roman"/>
        </w:rPr>
      </w:pPr>
      <w:r>
        <w:rPr>
          <w:rFonts w:cs="Times New Roman"/>
        </w:rPr>
        <w:t>Results showed there was no significant difference between the</w:t>
      </w:r>
      <w:r w:rsidR="008526CD">
        <w:rPr>
          <w:rFonts w:cs="Times New Roman"/>
        </w:rPr>
        <w:t xml:space="preserve"> tendencies of</w:t>
      </w:r>
      <w:r>
        <w:rPr>
          <w:rFonts w:cs="Times New Roman"/>
        </w:rPr>
        <w:t xml:space="preserve"> Environmental</w:t>
      </w:r>
      <w:r w:rsidR="008526CD">
        <w:rPr>
          <w:rFonts w:cs="Times New Roman"/>
        </w:rPr>
        <w:t xml:space="preserve">ists and </w:t>
      </w:r>
      <w:r>
        <w:rPr>
          <w:rFonts w:cs="Times New Roman"/>
        </w:rPr>
        <w:t>Non-Environmental</w:t>
      </w:r>
      <w:r w:rsidR="008526CD">
        <w:rPr>
          <w:rFonts w:cs="Times New Roman"/>
        </w:rPr>
        <w:t>ist</w:t>
      </w:r>
      <w:r>
        <w:rPr>
          <w:rFonts w:cs="Times New Roman"/>
        </w:rPr>
        <w:t xml:space="preserve">s </w:t>
      </w:r>
      <w:r w:rsidR="008526CD">
        <w:rPr>
          <w:rFonts w:cs="Times New Roman"/>
        </w:rPr>
        <w:t>in choosing</w:t>
      </w:r>
      <w:r>
        <w:rPr>
          <w:rFonts w:cs="Times New Roman"/>
        </w:rPr>
        <w:t xml:space="preserve"> the </w:t>
      </w:r>
      <w:proofErr w:type="gramStart"/>
      <w:r>
        <w:rPr>
          <w:rFonts w:cs="Times New Roman"/>
        </w:rPr>
        <w:t>environmentally-friendly</w:t>
      </w:r>
      <w:proofErr w:type="gramEnd"/>
      <w:r>
        <w:rPr>
          <w:rFonts w:cs="Times New Roman"/>
        </w:rPr>
        <w:t xml:space="preserve"> cookie options. 365, Back to Nature, and Newman-O’s are three </w:t>
      </w:r>
      <w:r w:rsidR="008526CD">
        <w:rPr>
          <w:rFonts w:cs="Times New Roman"/>
        </w:rPr>
        <w:t>cookie brands</w:t>
      </w:r>
      <w:r>
        <w:rPr>
          <w:rFonts w:cs="Times New Roman"/>
        </w:rPr>
        <w:t xml:space="preserve"> </w:t>
      </w:r>
      <w:r w:rsidR="008526CD">
        <w:rPr>
          <w:rFonts w:cs="Times New Roman"/>
        </w:rPr>
        <w:t>that engender an</w:t>
      </w:r>
      <w:r>
        <w:rPr>
          <w:rFonts w:cs="Times New Roman"/>
        </w:rPr>
        <w:t xml:space="preserve"> equal degree of </w:t>
      </w:r>
      <w:r w:rsidR="008526CD">
        <w:rPr>
          <w:rFonts w:cs="Times New Roman"/>
        </w:rPr>
        <w:t>environmental consciousness</w:t>
      </w:r>
      <w:r>
        <w:rPr>
          <w:rFonts w:cs="Times New Roman"/>
        </w:rPr>
        <w:t xml:space="preserve">. </w:t>
      </w:r>
      <w:r w:rsidR="00885C23">
        <w:rPr>
          <w:rFonts w:cs="Times New Roman"/>
        </w:rPr>
        <w:t xml:space="preserve">The preferences of both </w:t>
      </w:r>
      <w:proofErr w:type="gramStart"/>
      <w:r w:rsidR="00885C23">
        <w:rPr>
          <w:rFonts w:cs="Times New Roman"/>
        </w:rPr>
        <w:t>Millennial</w:t>
      </w:r>
      <w:proofErr w:type="gramEnd"/>
      <w:r w:rsidR="00885C23">
        <w:rPr>
          <w:rFonts w:cs="Times New Roman"/>
        </w:rPr>
        <w:t xml:space="preserve"> groups</w:t>
      </w:r>
      <w:r>
        <w:rPr>
          <w:rFonts w:cs="Times New Roman"/>
        </w:rPr>
        <w:t xml:space="preserve"> were relatively evenly distributed across the three brands. </w:t>
      </w:r>
      <w:r w:rsidR="00885C23">
        <w:rPr>
          <w:rFonts w:cs="Times New Roman"/>
        </w:rPr>
        <w:t>Environmentalists exhibited a slight preference to Back to Nature:</w:t>
      </w:r>
      <w:r>
        <w:rPr>
          <w:rFonts w:cs="Times New Roman"/>
        </w:rPr>
        <w:t xml:space="preserve"> 45.7% of Environmental</w:t>
      </w:r>
      <w:r w:rsidR="00885C23">
        <w:rPr>
          <w:rFonts w:cs="Times New Roman"/>
        </w:rPr>
        <w:t>ist</w:t>
      </w:r>
      <w:r>
        <w:rPr>
          <w:rFonts w:cs="Times New Roman"/>
        </w:rPr>
        <w:t>s chose this brand as either their first or second choice, while only 33.8% of the Non-Environmental</w:t>
      </w:r>
      <w:r w:rsidR="00885C23">
        <w:rPr>
          <w:rFonts w:cs="Times New Roman"/>
        </w:rPr>
        <w:t>ist</w:t>
      </w:r>
      <w:r>
        <w:rPr>
          <w:rFonts w:cs="Times New Roman"/>
        </w:rPr>
        <w:t xml:space="preserve">s did. </w:t>
      </w:r>
      <w:r w:rsidR="00885C23">
        <w:rPr>
          <w:rFonts w:cs="Times New Roman"/>
        </w:rPr>
        <w:t>This small difference may be due to the fact that Back to Nature</w:t>
      </w:r>
      <w:r w:rsidR="00D317E9">
        <w:rPr>
          <w:rFonts w:cs="Times New Roman"/>
        </w:rPr>
        <w:t xml:space="preserve"> uses the term “Natural”, </w:t>
      </w:r>
      <w:r w:rsidR="00B35415">
        <w:rPr>
          <w:rFonts w:cs="Times New Roman"/>
        </w:rPr>
        <w:t xml:space="preserve">implying an </w:t>
      </w:r>
      <w:r>
        <w:rPr>
          <w:rFonts w:cs="Times New Roman"/>
        </w:rPr>
        <w:t>association between the product and the environment.</w:t>
      </w:r>
      <w:r w:rsidR="00B35415">
        <w:rPr>
          <w:rStyle w:val="FootnoteReference"/>
          <w:rFonts w:cs="Times New Roman"/>
        </w:rPr>
        <w:footnoteReference w:id="7"/>
      </w:r>
      <w:r>
        <w:rPr>
          <w:rFonts w:cs="Times New Roman"/>
        </w:rPr>
        <w:t xml:space="preserve">  </w:t>
      </w:r>
    </w:p>
    <w:p w14:paraId="1688FFF4" w14:textId="0BDB4FEF" w:rsidR="009C120D" w:rsidRDefault="009C120D" w:rsidP="00A12607">
      <w:pPr>
        <w:spacing w:line="480" w:lineRule="auto"/>
        <w:ind w:firstLine="720"/>
        <w:rPr>
          <w:rFonts w:cs="Times New Roman"/>
        </w:rPr>
      </w:pPr>
      <w:r>
        <w:rPr>
          <w:rFonts w:cs="Times New Roman"/>
        </w:rPr>
        <w:t>There was a significant difference between the two</w:t>
      </w:r>
      <w:r w:rsidR="000269B2">
        <w:rPr>
          <w:rFonts w:cs="Times New Roman"/>
        </w:rPr>
        <w:t xml:space="preserve"> </w:t>
      </w:r>
      <w:proofErr w:type="spellStart"/>
      <w:r w:rsidR="000269B2">
        <w:rPr>
          <w:rFonts w:cs="Times New Roman"/>
        </w:rPr>
        <w:t>Millenial</w:t>
      </w:r>
      <w:proofErr w:type="spellEnd"/>
      <w:r>
        <w:rPr>
          <w:rFonts w:cs="Times New Roman"/>
        </w:rPr>
        <w:t xml:space="preserve"> groups when it came to eco-friendly detergent choice. 33.9% of the Environmental</w:t>
      </w:r>
      <w:r w:rsidR="000269B2">
        <w:rPr>
          <w:rFonts w:cs="Times New Roman"/>
        </w:rPr>
        <w:t>ist</w:t>
      </w:r>
      <w:r>
        <w:rPr>
          <w:rFonts w:cs="Times New Roman"/>
        </w:rPr>
        <w:t>s chose Seventh Generation as either thei</w:t>
      </w:r>
      <w:r w:rsidR="00E01510">
        <w:rPr>
          <w:rFonts w:cs="Times New Roman"/>
        </w:rPr>
        <w:t>r first or second choice, where</w:t>
      </w:r>
      <w:r>
        <w:rPr>
          <w:rFonts w:cs="Times New Roman"/>
        </w:rPr>
        <w:t>as only 8.6% of the Non-Environmental</w:t>
      </w:r>
      <w:r w:rsidR="000269B2">
        <w:rPr>
          <w:rFonts w:cs="Times New Roman"/>
        </w:rPr>
        <w:t>ist</w:t>
      </w:r>
      <w:r>
        <w:rPr>
          <w:rFonts w:cs="Times New Roman"/>
        </w:rPr>
        <w:t>s chose this option. There was less of a gap between the two groups in t</w:t>
      </w:r>
      <w:r w:rsidR="00E01510">
        <w:rPr>
          <w:rFonts w:cs="Times New Roman"/>
        </w:rPr>
        <w:t>heir purchasing of Mrs. Meyer’s:</w:t>
      </w:r>
      <w:r>
        <w:rPr>
          <w:rFonts w:cs="Times New Roman"/>
        </w:rPr>
        <w:t xml:space="preserve"> 18.1% of Environmental</w:t>
      </w:r>
      <w:r w:rsidR="000269B2">
        <w:rPr>
          <w:rFonts w:cs="Times New Roman"/>
        </w:rPr>
        <w:t>ist</w:t>
      </w:r>
      <w:r>
        <w:rPr>
          <w:rFonts w:cs="Times New Roman"/>
        </w:rPr>
        <w:t>s and 13.2% Non-Environmental</w:t>
      </w:r>
      <w:r w:rsidR="000269B2">
        <w:rPr>
          <w:rFonts w:cs="Times New Roman"/>
        </w:rPr>
        <w:t>ist</w:t>
      </w:r>
      <w:r>
        <w:rPr>
          <w:rFonts w:cs="Times New Roman"/>
        </w:rPr>
        <w:t>s chose Mrs. Meyers</w:t>
      </w:r>
      <w:r w:rsidR="00E01510">
        <w:rPr>
          <w:rFonts w:cs="Times New Roman"/>
        </w:rPr>
        <w:t xml:space="preserve"> as their first or second choice</w:t>
      </w:r>
      <w:r>
        <w:rPr>
          <w:rFonts w:cs="Times New Roman"/>
        </w:rPr>
        <w:t>.</w:t>
      </w:r>
      <w:r w:rsidR="00BB3073">
        <w:rPr>
          <w:rStyle w:val="FootnoteReference"/>
          <w:rFonts w:cs="Times New Roman"/>
        </w:rPr>
        <w:footnoteReference w:id="8"/>
      </w:r>
      <w:r>
        <w:rPr>
          <w:rFonts w:cs="Times New Roman"/>
        </w:rPr>
        <w:t xml:space="preserve"> </w:t>
      </w:r>
    </w:p>
    <w:p w14:paraId="20CFFF18" w14:textId="46B64924" w:rsidR="009C120D" w:rsidRPr="006E6591" w:rsidRDefault="009C120D" w:rsidP="00A12607">
      <w:pPr>
        <w:spacing w:line="480" w:lineRule="auto"/>
        <w:ind w:firstLine="720"/>
        <w:rPr>
          <w:rFonts w:cs="Times New Roman"/>
        </w:rPr>
      </w:pPr>
      <w:r>
        <w:rPr>
          <w:rFonts w:cs="Times New Roman"/>
        </w:rPr>
        <w:t>F</w:t>
      </w:r>
      <w:r w:rsidRPr="0094401B">
        <w:rPr>
          <w:rFonts w:cs="Times New Roman"/>
        </w:rPr>
        <w:t>ewer</w:t>
      </w:r>
      <w:r w:rsidR="00E01510">
        <w:rPr>
          <w:rFonts w:cs="Times New Roman"/>
        </w:rPr>
        <w:t xml:space="preserve"> respondents</w:t>
      </w:r>
      <w:r w:rsidRPr="0094401B">
        <w:rPr>
          <w:rFonts w:cs="Times New Roman"/>
        </w:rPr>
        <w:t xml:space="preserve"> were able to </w:t>
      </w:r>
      <w:r w:rsidR="00E01510">
        <w:rPr>
          <w:rFonts w:cs="Times New Roman"/>
        </w:rPr>
        <w:t>recognize Meyer’s as a verified</w:t>
      </w:r>
      <w:r w:rsidRPr="0094401B">
        <w:rPr>
          <w:rFonts w:cs="Times New Roman"/>
        </w:rPr>
        <w:t xml:space="preserve"> environmentally friendly product, </w:t>
      </w:r>
      <w:r w:rsidR="00E01510">
        <w:rPr>
          <w:rFonts w:cs="Times New Roman"/>
        </w:rPr>
        <w:t>indicating that they are</w:t>
      </w:r>
      <w:r w:rsidRPr="0094401B">
        <w:rPr>
          <w:rFonts w:cs="Times New Roman"/>
        </w:rPr>
        <w:t xml:space="preserve"> less likely to purchase the brand. </w:t>
      </w:r>
      <w:r w:rsidR="00D87BD2">
        <w:rPr>
          <w:rFonts w:cs="Times New Roman"/>
          <w:color w:val="000000"/>
        </w:rPr>
        <w:t>In comparing</w:t>
      </w:r>
      <w:r w:rsidRPr="0094401B">
        <w:rPr>
          <w:rFonts w:cs="Times New Roman"/>
          <w:color w:val="000000"/>
        </w:rPr>
        <w:t xml:space="preserve"> Seventh Generation, a well-recognized eco-friendly brand, to a green</w:t>
      </w:r>
      <w:r w:rsidR="00DC1DA9">
        <w:rPr>
          <w:rFonts w:cs="Times New Roman"/>
          <w:color w:val="000000"/>
        </w:rPr>
        <w:t>-</w:t>
      </w:r>
      <w:r w:rsidRPr="0094401B">
        <w:rPr>
          <w:rFonts w:cs="Times New Roman"/>
          <w:color w:val="000000"/>
        </w:rPr>
        <w:t xml:space="preserve">washed brand, it its evident that </w:t>
      </w:r>
      <w:r w:rsidR="00694E4A">
        <w:rPr>
          <w:rFonts w:cs="Times New Roman"/>
          <w:color w:val="000000"/>
        </w:rPr>
        <w:t>companies</w:t>
      </w:r>
      <w:r w:rsidRPr="0094401B">
        <w:rPr>
          <w:rFonts w:cs="Times New Roman"/>
          <w:color w:val="000000"/>
        </w:rPr>
        <w:t xml:space="preserve"> </w:t>
      </w:r>
      <w:proofErr w:type="gramStart"/>
      <w:r w:rsidRPr="0094401B">
        <w:rPr>
          <w:rFonts w:cs="Times New Roman"/>
          <w:color w:val="000000"/>
        </w:rPr>
        <w:t>were</w:t>
      </w:r>
      <w:proofErr w:type="gramEnd"/>
      <w:r w:rsidRPr="0094401B">
        <w:rPr>
          <w:rFonts w:cs="Times New Roman"/>
          <w:color w:val="000000"/>
        </w:rPr>
        <w:t xml:space="preserve"> successful in their ability to differentiate their product by creating a strong brand. The implications of this result are beneficial to the way corporations implement long-term green marketing strategies. If a company is able to distinguish itself as a reputable green brand </w:t>
      </w:r>
      <w:r w:rsidR="00694E4A">
        <w:rPr>
          <w:rFonts w:cs="Times New Roman"/>
          <w:color w:val="000000"/>
        </w:rPr>
        <w:t>while maintaining</w:t>
      </w:r>
      <w:r w:rsidRPr="0094401B">
        <w:rPr>
          <w:rFonts w:cs="Times New Roman"/>
          <w:color w:val="000000"/>
        </w:rPr>
        <w:t xml:space="preserve"> superior quality and a strong image, they will be </w:t>
      </w:r>
      <w:r w:rsidR="00BB3073">
        <w:rPr>
          <w:rFonts w:cs="Times New Roman"/>
          <w:color w:val="000000"/>
        </w:rPr>
        <w:t>able to successfully appeal to green consumers and the Millennial Generation</w:t>
      </w:r>
      <w:r w:rsidRPr="0094401B">
        <w:rPr>
          <w:rFonts w:cs="Times New Roman"/>
          <w:color w:val="000000"/>
        </w:rPr>
        <w:t xml:space="preserve">. </w:t>
      </w:r>
    </w:p>
    <w:p w14:paraId="1BDA4645" w14:textId="77777777" w:rsidR="009C120D" w:rsidRPr="0094401B" w:rsidRDefault="009C120D" w:rsidP="00A12607">
      <w:pPr>
        <w:spacing w:line="480" w:lineRule="auto"/>
        <w:rPr>
          <w:rFonts w:cs="Times New Roman"/>
          <w:noProof/>
        </w:rPr>
      </w:pPr>
    </w:p>
    <w:p w14:paraId="1FC695EB" w14:textId="77777777" w:rsidR="009C120D" w:rsidRPr="003A08C6" w:rsidRDefault="009C120D" w:rsidP="00A12607">
      <w:pPr>
        <w:spacing w:line="480" w:lineRule="auto"/>
        <w:rPr>
          <w:rFonts w:cs="Times New Roman"/>
          <w:b/>
          <w:noProof/>
        </w:rPr>
      </w:pPr>
      <w:r w:rsidRPr="003A08C6">
        <w:rPr>
          <w:rFonts w:cs="Times New Roman"/>
          <w:b/>
          <w:noProof/>
        </w:rPr>
        <w:t xml:space="preserve"> Millennials struggle to idenitfy and interpret environmental labels</w:t>
      </w:r>
      <w:r>
        <w:rPr>
          <w:rFonts w:cs="Times New Roman"/>
          <w:b/>
          <w:noProof/>
        </w:rPr>
        <w:t>.</w:t>
      </w:r>
      <w:r w:rsidRPr="003A08C6">
        <w:rPr>
          <w:rFonts w:cs="Times New Roman"/>
          <w:b/>
          <w:noProof/>
        </w:rPr>
        <w:t xml:space="preserve">  </w:t>
      </w:r>
    </w:p>
    <w:p w14:paraId="61F505EB" w14:textId="175AE583" w:rsidR="00A6748C" w:rsidRDefault="00612878" w:rsidP="00ED6621">
      <w:pPr>
        <w:spacing w:line="480" w:lineRule="auto"/>
        <w:ind w:firstLine="720"/>
        <w:rPr>
          <w:rFonts w:cs="Times New Roman"/>
        </w:rPr>
      </w:pPr>
      <w:r>
        <w:rPr>
          <w:rFonts w:cs="Times New Roman"/>
        </w:rPr>
        <w:t>Corporations are increasingly</w:t>
      </w:r>
      <w:r w:rsidR="009C120D" w:rsidRPr="0094401B">
        <w:rPr>
          <w:rFonts w:cs="Times New Roman"/>
        </w:rPr>
        <w:t xml:space="preserve"> using labels and certifications to convey environmental commitment</w:t>
      </w:r>
      <w:r>
        <w:rPr>
          <w:rFonts w:cs="Times New Roman"/>
        </w:rPr>
        <w:t>,</w:t>
      </w:r>
      <w:r w:rsidR="009C120D" w:rsidRPr="0094401B">
        <w:rPr>
          <w:rFonts w:cs="Times New Roman"/>
        </w:rPr>
        <w:t xml:space="preserve"> as opposed to </w:t>
      </w:r>
      <w:r>
        <w:rPr>
          <w:rFonts w:cs="Times New Roman"/>
        </w:rPr>
        <w:t xml:space="preserve">conventional </w:t>
      </w:r>
      <w:r w:rsidR="009C120D" w:rsidRPr="0094401B">
        <w:rPr>
          <w:rFonts w:cs="Times New Roman"/>
        </w:rPr>
        <w:t>t</w:t>
      </w:r>
      <w:r>
        <w:rPr>
          <w:rFonts w:cs="Times New Roman"/>
        </w:rPr>
        <w:t>ext-based advertisements</w:t>
      </w:r>
      <w:r w:rsidR="009C120D" w:rsidRPr="0094401B">
        <w:rPr>
          <w:rFonts w:cs="Times New Roman"/>
        </w:rPr>
        <w:t xml:space="preserve">. The environmental community has placed great stock in labeling of products as a way to put consumer pressure on companies to improve their environmental commitment. Our survey sought to test the effectiveness of these labels by gauging respondents’ ability to identify the image. Surprisingly, </w:t>
      </w:r>
      <w:r w:rsidR="009C120D">
        <w:rPr>
          <w:rFonts w:cs="Times New Roman"/>
        </w:rPr>
        <w:t xml:space="preserve">we found Millennials to be </w:t>
      </w:r>
      <w:r w:rsidR="009146F3">
        <w:rPr>
          <w:rFonts w:cs="Times New Roman"/>
        </w:rPr>
        <w:t>even less knowledgeable than</w:t>
      </w:r>
      <w:r w:rsidR="009C120D" w:rsidRPr="0094401B">
        <w:rPr>
          <w:rFonts w:cs="Times New Roman"/>
        </w:rPr>
        <w:t xml:space="preserve"> expected. When </w:t>
      </w:r>
      <w:r w:rsidR="00E062BB">
        <w:rPr>
          <w:rFonts w:cs="Times New Roman"/>
        </w:rPr>
        <w:t>presented</w:t>
      </w:r>
      <w:r w:rsidR="009C120D" w:rsidRPr="0094401B">
        <w:rPr>
          <w:rFonts w:cs="Times New Roman"/>
        </w:rPr>
        <w:t xml:space="preserve"> with a compilation of both legitimate and green</w:t>
      </w:r>
      <w:r w:rsidR="00B67ADF">
        <w:rPr>
          <w:rFonts w:cs="Times New Roman"/>
        </w:rPr>
        <w:t>-</w:t>
      </w:r>
      <w:r>
        <w:rPr>
          <w:rFonts w:cs="Times New Roman"/>
        </w:rPr>
        <w:t>washed certification labels</w:t>
      </w:r>
      <w:r w:rsidR="009C120D" w:rsidRPr="0094401B">
        <w:rPr>
          <w:rFonts w:cs="Times New Roman"/>
        </w:rPr>
        <w:t xml:space="preserve">, respondents were far from confident in their ability to successfully differentiate between the two. For example, </w:t>
      </w:r>
      <w:r w:rsidR="009A1289">
        <w:rPr>
          <w:rFonts w:cs="Times New Roman"/>
        </w:rPr>
        <w:t xml:space="preserve">only 27.7% of respondents were able to confidently identify </w:t>
      </w:r>
      <w:r w:rsidR="009C120D" w:rsidRPr="0094401B">
        <w:rPr>
          <w:rFonts w:cs="Times New Roman"/>
        </w:rPr>
        <w:t xml:space="preserve">the USDA Organic </w:t>
      </w:r>
      <w:r w:rsidR="00767E26">
        <w:rPr>
          <w:rFonts w:cs="Times New Roman"/>
        </w:rPr>
        <w:t>Seal</w:t>
      </w:r>
      <w:r w:rsidR="009C120D" w:rsidRPr="0094401B">
        <w:rPr>
          <w:rFonts w:cs="Times New Roman"/>
        </w:rPr>
        <w:t>, one of the most widely used and recognized of eco-certifications</w:t>
      </w:r>
      <w:r w:rsidR="009A1289">
        <w:rPr>
          <w:rFonts w:cs="Times New Roman"/>
        </w:rPr>
        <w:t>.</w:t>
      </w:r>
      <w:r w:rsidR="009C120D" w:rsidRPr="0094401B">
        <w:rPr>
          <w:rFonts w:cs="Times New Roman"/>
        </w:rPr>
        <w:t xml:space="preserve"> Similarly, only 5.4%</w:t>
      </w:r>
      <w:r w:rsidR="00C6507C">
        <w:rPr>
          <w:rFonts w:cs="Times New Roman"/>
        </w:rPr>
        <w:t xml:space="preserve"> of respondents</w:t>
      </w:r>
      <w:r w:rsidR="009C120D" w:rsidRPr="0094401B">
        <w:rPr>
          <w:rFonts w:cs="Times New Roman"/>
        </w:rPr>
        <w:t xml:space="preserve"> strongly agreed that</w:t>
      </w:r>
      <w:r w:rsidR="009A1289">
        <w:rPr>
          <w:rFonts w:cs="Times New Roman"/>
        </w:rPr>
        <w:t xml:space="preserve"> both</w:t>
      </w:r>
      <w:r w:rsidR="009C120D" w:rsidRPr="0094401B">
        <w:rPr>
          <w:rFonts w:cs="Times New Roman"/>
        </w:rPr>
        <w:t xml:space="preserve"> the </w:t>
      </w:r>
      <w:r w:rsidR="009A1289">
        <w:rPr>
          <w:rFonts w:cs="Times New Roman"/>
        </w:rPr>
        <w:t>Leaping Bunny Certification</w:t>
      </w:r>
      <w:r w:rsidR="009C120D" w:rsidRPr="0094401B">
        <w:rPr>
          <w:rFonts w:cs="Times New Roman"/>
        </w:rPr>
        <w:t xml:space="preserve"> and </w:t>
      </w:r>
      <w:r w:rsidR="009A1289">
        <w:rPr>
          <w:rFonts w:cs="Times New Roman"/>
        </w:rPr>
        <w:t xml:space="preserve">the </w:t>
      </w:r>
      <w:r w:rsidR="009C120D" w:rsidRPr="0094401B">
        <w:rPr>
          <w:rFonts w:cs="Times New Roman"/>
        </w:rPr>
        <w:t>Marine Stewardship Council labels</w:t>
      </w:r>
      <w:r w:rsidR="009A1289">
        <w:rPr>
          <w:rFonts w:cs="Times New Roman"/>
        </w:rPr>
        <w:t xml:space="preserve"> were verified eco-labels – both these labels represent</w:t>
      </w:r>
      <w:r w:rsidR="00C6507C">
        <w:rPr>
          <w:rFonts w:cs="Times New Roman"/>
        </w:rPr>
        <w:t xml:space="preserve"> the same level of environmental commitment as the USDA seal. </w:t>
      </w:r>
      <w:r w:rsidR="009C120D" w:rsidRPr="0094401B">
        <w:rPr>
          <w:rFonts w:cs="Times New Roman"/>
        </w:rPr>
        <w:t xml:space="preserve">To make matters more concerning, </w:t>
      </w:r>
      <w:r w:rsidR="00635092">
        <w:rPr>
          <w:rFonts w:cs="Times New Roman"/>
        </w:rPr>
        <w:t xml:space="preserve">only </w:t>
      </w:r>
      <w:r w:rsidR="009C120D" w:rsidRPr="0094401B">
        <w:rPr>
          <w:rFonts w:cs="Times New Roman"/>
        </w:rPr>
        <w:t xml:space="preserve">1% </w:t>
      </w:r>
      <w:r w:rsidR="00635092">
        <w:rPr>
          <w:rFonts w:cs="Times New Roman"/>
        </w:rPr>
        <w:t>(</w:t>
      </w:r>
      <w:r w:rsidR="009C120D" w:rsidRPr="0094401B">
        <w:rPr>
          <w:rFonts w:cs="Times New Roman"/>
        </w:rPr>
        <w:t>or less</w:t>
      </w:r>
      <w:r w:rsidR="00635092">
        <w:rPr>
          <w:rFonts w:cs="Times New Roman"/>
        </w:rPr>
        <w:t>)</w:t>
      </w:r>
      <w:r w:rsidR="009C120D" w:rsidRPr="0094401B">
        <w:rPr>
          <w:rFonts w:cs="Times New Roman"/>
        </w:rPr>
        <w:t xml:space="preserve"> of respondents strongly disagreed that the green</w:t>
      </w:r>
      <w:r w:rsidR="00B67ADF">
        <w:rPr>
          <w:rFonts w:cs="Times New Roman"/>
        </w:rPr>
        <w:t>-</w:t>
      </w:r>
      <w:r w:rsidR="009C120D" w:rsidRPr="0094401B">
        <w:rPr>
          <w:rFonts w:cs="Times New Roman"/>
        </w:rPr>
        <w:t>wash</w:t>
      </w:r>
      <w:r w:rsidR="00A461E9">
        <w:rPr>
          <w:rFonts w:cs="Times New Roman"/>
        </w:rPr>
        <w:t>ed labels</w:t>
      </w:r>
      <w:r w:rsidR="009C120D" w:rsidRPr="0094401B">
        <w:rPr>
          <w:rFonts w:cs="Times New Roman"/>
        </w:rPr>
        <w:t xml:space="preserve"> </w:t>
      </w:r>
      <w:r w:rsidR="00584D49">
        <w:rPr>
          <w:rFonts w:cs="Times New Roman"/>
        </w:rPr>
        <w:t>(</w:t>
      </w:r>
      <w:proofErr w:type="spellStart"/>
      <w:r w:rsidR="009C120D" w:rsidRPr="0094401B">
        <w:rPr>
          <w:rFonts w:cs="Times New Roman"/>
        </w:rPr>
        <w:t>GreenList</w:t>
      </w:r>
      <w:proofErr w:type="spellEnd"/>
      <w:r w:rsidR="00584D49">
        <w:rPr>
          <w:rFonts w:cs="Times New Roman"/>
        </w:rPr>
        <w:t>, 100% Natural,</w:t>
      </w:r>
      <w:r w:rsidR="009C120D" w:rsidRPr="0094401B">
        <w:rPr>
          <w:rFonts w:cs="Times New Roman"/>
        </w:rPr>
        <w:t xml:space="preserve"> and Eco-Friendly</w:t>
      </w:r>
      <w:r w:rsidR="00584D49">
        <w:rPr>
          <w:rFonts w:cs="Times New Roman"/>
        </w:rPr>
        <w:t>)</w:t>
      </w:r>
      <w:r w:rsidR="009C120D" w:rsidRPr="0094401B">
        <w:rPr>
          <w:rFonts w:cs="Times New Roman"/>
        </w:rPr>
        <w:t xml:space="preserve"> </w:t>
      </w:r>
      <w:r w:rsidR="00584D49">
        <w:rPr>
          <w:rFonts w:cs="Times New Roman"/>
        </w:rPr>
        <w:t>represented legitimate</w:t>
      </w:r>
      <w:r w:rsidR="009C120D" w:rsidRPr="0094401B">
        <w:rPr>
          <w:rFonts w:cs="Times New Roman"/>
        </w:rPr>
        <w:t xml:space="preserve"> environmental commitment</w:t>
      </w:r>
      <w:r w:rsidR="00584D49">
        <w:rPr>
          <w:rFonts w:cs="Times New Roman"/>
        </w:rPr>
        <w:t xml:space="preserve">, thereby correctly </w:t>
      </w:r>
      <w:r w:rsidR="0066070E">
        <w:rPr>
          <w:rFonts w:cs="Times New Roman"/>
        </w:rPr>
        <w:t>interpreting the false claims</w:t>
      </w:r>
      <w:r w:rsidR="009C120D" w:rsidRPr="0094401B">
        <w:rPr>
          <w:rFonts w:cs="Times New Roman"/>
        </w:rPr>
        <w:t xml:space="preserve">. </w:t>
      </w:r>
      <w:r w:rsidR="009640BC">
        <w:rPr>
          <w:rFonts w:cs="Times New Roman"/>
        </w:rPr>
        <w:t>Perhaps the most alarming finding concerning</w:t>
      </w:r>
      <w:r w:rsidR="0047621F">
        <w:rPr>
          <w:rFonts w:cs="Times New Roman"/>
        </w:rPr>
        <w:t xml:space="preserve"> Millennials’ identification of</w:t>
      </w:r>
      <w:r w:rsidR="009640BC">
        <w:rPr>
          <w:rFonts w:cs="Times New Roman"/>
        </w:rPr>
        <w:t xml:space="preserve"> certification</w:t>
      </w:r>
      <w:r w:rsidR="00F90D96">
        <w:rPr>
          <w:rFonts w:cs="Times New Roman"/>
        </w:rPr>
        <w:t xml:space="preserve"> </w:t>
      </w:r>
      <w:r w:rsidR="0047621F">
        <w:rPr>
          <w:rFonts w:cs="Times New Roman"/>
        </w:rPr>
        <w:t>labe</w:t>
      </w:r>
      <w:r w:rsidR="00956258">
        <w:rPr>
          <w:rFonts w:cs="Times New Roman"/>
        </w:rPr>
        <w:t xml:space="preserve">ls was the number of respondents who chose “don’t know” for the legitimate certification labels. </w:t>
      </w:r>
      <w:r w:rsidR="0025590F">
        <w:rPr>
          <w:rFonts w:cs="Times New Roman"/>
        </w:rPr>
        <w:t xml:space="preserve">36.8% of respondents chose “don’t know” </w:t>
      </w:r>
      <w:r w:rsidR="00C86205">
        <w:rPr>
          <w:rFonts w:cs="Times New Roman"/>
        </w:rPr>
        <w:t>for the Leaping Bunny Certification; 36.4% of respondents chose “don’t know” for the Marine Stewardship Council certification</w:t>
      </w:r>
      <w:r w:rsidR="00295D0B">
        <w:rPr>
          <w:rFonts w:cs="Times New Roman"/>
        </w:rPr>
        <w:t xml:space="preserve">. This means that more people did not recognize these </w:t>
      </w:r>
      <w:r w:rsidR="0031290E">
        <w:rPr>
          <w:rFonts w:cs="Times New Roman"/>
        </w:rPr>
        <w:t xml:space="preserve">lesser-known </w:t>
      </w:r>
      <w:r w:rsidR="00295D0B">
        <w:rPr>
          <w:rFonts w:cs="Times New Roman"/>
        </w:rPr>
        <w:t xml:space="preserve">certifications than were able to confidently identify </w:t>
      </w:r>
      <w:r w:rsidR="0031290E">
        <w:rPr>
          <w:rFonts w:cs="Times New Roman"/>
        </w:rPr>
        <w:t>some of the most commonly used certification labels on the market.</w:t>
      </w:r>
      <w:r w:rsidR="0031290E">
        <w:rPr>
          <w:rStyle w:val="FootnoteReference"/>
          <w:rFonts w:cs="Times New Roman"/>
        </w:rPr>
        <w:footnoteReference w:id="9"/>
      </w:r>
    </w:p>
    <w:p w14:paraId="15238133" w14:textId="77777777" w:rsidR="00ED6621" w:rsidRPr="00ED6621" w:rsidRDefault="00ED6621" w:rsidP="00ED6621">
      <w:pPr>
        <w:spacing w:line="480" w:lineRule="auto"/>
        <w:ind w:firstLine="720"/>
        <w:rPr>
          <w:rFonts w:cs="Times New Roman"/>
        </w:rPr>
      </w:pPr>
    </w:p>
    <w:p w14:paraId="1B1A3D0E" w14:textId="22A7BADE" w:rsidR="007029A0" w:rsidRPr="007029A0" w:rsidRDefault="00692981" w:rsidP="007029A0">
      <w:pPr>
        <w:spacing w:line="480" w:lineRule="auto"/>
        <w:rPr>
          <w:rFonts w:cs="Times New Roman"/>
          <w:b/>
        </w:rPr>
      </w:pPr>
      <w:r>
        <w:rPr>
          <w:rFonts w:cs="Times New Roman"/>
          <w:b/>
        </w:rPr>
        <w:t xml:space="preserve">Labeling Does </w:t>
      </w:r>
      <w:r w:rsidR="005265D6">
        <w:rPr>
          <w:rFonts w:cs="Times New Roman"/>
          <w:b/>
        </w:rPr>
        <w:t>N</w:t>
      </w:r>
      <w:r>
        <w:rPr>
          <w:rFonts w:cs="Times New Roman"/>
          <w:b/>
        </w:rPr>
        <w:t>ot Significantly Change Millennials’ Purchasing Behavior</w:t>
      </w:r>
    </w:p>
    <w:p w14:paraId="20916280" w14:textId="77777777" w:rsidR="00692981" w:rsidRDefault="00692981" w:rsidP="00692981">
      <w:pPr>
        <w:spacing w:line="480" w:lineRule="auto"/>
        <w:ind w:firstLine="720"/>
      </w:pPr>
      <w:r>
        <w:t xml:space="preserve">Our social experiment was designed to test whether or not labeling significantly affected Millennials purchasing behavior when differentiating between product options of the same type. Without the presence of labeling, 29.3% of participants chose Hershey’s Kisses, 36.0% chose </w:t>
      </w:r>
      <w:proofErr w:type="spellStart"/>
      <w:r>
        <w:t>Lindt</w:t>
      </w:r>
      <w:proofErr w:type="spellEnd"/>
      <w:r>
        <w:t xml:space="preserve">, and 34.7% chose Equal Exchange. When the choice was offered with differentiating labels, 25.3% of respondents chose Hershey’s Kisses, 38.7% chose </w:t>
      </w:r>
      <w:proofErr w:type="spellStart"/>
      <w:r>
        <w:t>Lindt</w:t>
      </w:r>
      <w:proofErr w:type="spellEnd"/>
      <w:r>
        <w:t xml:space="preserve">, and 36% chose Equal Exchange. </w:t>
      </w:r>
    </w:p>
    <w:p w14:paraId="047C9382" w14:textId="77777777" w:rsidR="00692981" w:rsidRDefault="00692981" w:rsidP="00692981"/>
    <w:tbl>
      <w:tblPr>
        <w:tblW w:w="9483" w:type="dxa"/>
        <w:jc w:val="center"/>
        <w:tblInd w:w="93" w:type="dxa"/>
        <w:tblLook w:val="04A0" w:firstRow="1" w:lastRow="0" w:firstColumn="1" w:lastColumn="0" w:noHBand="0" w:noVBand="1"/>
      </w:tblPr>
      <w:tblGrid>
        <w:gridCol w:w="1658"/>
        <w:gridCol w:w="1052"/>
        <w:gridCol w:w="1415"/>
        <w:gridCol w:w="293"/>
        <w:gridCol w:w="1991"/>
        <w:gridCol w:w="1243"/>
        <w:gridCol w:w="1831"/>
      </w:tblGrid>
      <w:tr w:rsidR="00692981" w:rsidRPr="004F709E" w14:paraId="6D5F45A9" w14:textId="77777777" w:rsidTr="00222F9E">
        <w:trPr>
          <w:trHeight w:val="282"/>
          <w:jc w:val="center"/>
        </w:trPr>
        <w:tc>
          <w:tcPr>
            <w:tcW w:w="4125" w:type="dxa"/>
            <w:gridSpan w:val="3"/>
            <w:tcBorders>
              <w:top w:val="single" w:sz="4" w:space="0" w:color="auto"/>
              <w:left w:val="single" w:sz="4" w:space="0" w:color="auto"/>
              <w:bottom w:val="double" w:sz="6" w:space="0" w:color="auto"/>
              <w:right w:val="single" w:sz="4" w:space="0" w:color="000000"/>
            </w:tcBorders>
            <w:shd w:val="clear" w:color="auto" w:fill="auto"/>
            <w:noWrap/>
            <w:vAlign w:val="bottom"/>
            <w:hideMark/>
          </w:tcPr>
          <w:p w14:paraId="3A338EE2" w14:textId="77777777" w:rsidR="00692981" w:rsidRPr="004F709E" w:rsidRDefault="00692981" w:rsidP="006D0788">
            <w:pPr>
              <w:jc w:val="center"/>
              <w:rPr>
                <w:rFonts w:ascii="Calibri" w:eastAsia="Times New Roman" w:hAnsi="Calibri" w:cs="Times New Roman"/>
                <w:b/>
                <w:bCs/>
                <w:color w:val="000000"/>
                <w:sz w:val="22"/>
                <w:szCs w:val="22"/>
              </w:rPr>
            </w:pPr>
            <w:r w:rsidRPr="004F709E">
              <w:rPr>
                <w:rFonts w:ascii="Calibri" w:eastAsia="Times New Roman" w:hAnsi="Calibri" w:cs="Times New Roman"/>
                <w:b/>
                <w:bCs/>
                <w:color w:val="000000"/>
                <w:sz w:val="22"/>
                <w:szCs w:val="22"/>
              </w:rPr>
              <w:t>Frequency Distribution of Trial 1: Control</w:t>
            </w:r>
          </w:p>
        </w:tc>
        <w:tc>
          <w:tcPr>
            <w:tcW w:w="293" w:type="dxa"/>
            <w:vMerge w:val="restart"/>
            <w:tcBorders>
              <w:top w:val="nil"/>
              <w:left w:val="single" w:sz="4" w:space="0" w:color="auto"/>
              <w:bottom w:val="nil"/>
              <w:right w:val="single" w:sz="4" w:space="0" w:color="auto"/>
            </w:tcBorders>
            <w:shd w:val="clear" w:color="auto" w:fill="auto"/>
            <w:noWrap/>
            <w:vAlign w:val="bottom"/>
            <w:hideMark/>
          </w:tcPr>
          <w:p w14:paraId="66FD57D4" w14:textId="77777777" w:rsidR="00692981" w:rsidRPr="004F709E" w:rsidRDefault="00692981" w:rsidP="006D0788">
            <w:pPr>
              <w:jc w:val="cente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5065" w:type="dxa"/>
            <w:gridSpan w:val="3"/>
            <w:tcBorders>
              <w:top w:val="single" w:sz="4" w:space="0" w:color="auto"/>
              <w:left w:val="nil"/>
              <w:bottom w:val="double" w:sz="6" w:space="0" w:color="auto"/>
              <w:right w:val="single" w:sz="4" w:space="0" w:color="000000"/>
            </w:tcBorders>
            <w:shd w:val="clear" w:color="auto" w:fill="auto"/>
            <w:noWrap/>
            <w:vAlign w:val="bottom"/>
            <w:hideMark/>
          </w:tcPr>
          <w:p w14:paraId="201F5727" w14:textId="77777777" w:rsidR="00692981" w:rsidRPr="004F709E" w:rsidRDefault="00692981" w:rsidP="006D0788">
            <w:pPr>
              <w:jc w:val="center"/>
              <w:rPr>
                <w:rFonts w:ascii="Calibri" w:eastAsia="Times New Roman" w:hAnsi="Calibri" w:cs="Times New Roman"/>
                <w:b/>
                <w:bCs/>
                <w:color w:val="000000"/>
                <w:sz w:val="22"/>
                <w:szCs w:val="22"/>
              </w:rPr>
            </w:pPr>
            <w:r w:rsidRPr="004F709E">
              <w:rPr>
                <w:rFonts w:ascii="Calibri" w:eastAsia="Times New Roman" w:hAnsi="Calibri" w:cs="Times New Roman"/>
                <w:b/>
                <w:bCs/>
                <w:color w:val="000000"/>
                <w:sz w:val="22"/>
                <w:szCs w:val="22"/>
              </w:rPr>
              <w:t>Frequency Distribution of Trial 2: Manipulation</w:t>
            </w:r>
          </w:p>
        </w:tc>
      </w:tr>
      <w:tr w:rsidR="00222F9E" w:rsidRPr="004F709E" w14:paraId="187C2D67" w14:textId="77777777" w:rsidTr="00222F9E">
        <w:trPr>
          <w:trHeight w:val="282"/>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B006412"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0BF428" w14:textId="77777777" w:rsidR="00692981" w:rsidRPr="004F709E" w:rsidRDefault="00692981" w:rsidP="006D0788">
            <w:pPr>
              <w:rPr>
                <w:rFonts w:ascii="Calibri" w:eastAsia="Times New Roman" w:hAnsi="Calibri" w:cs="Times New Roman"/>
                <w:i/>
                <w:iCs/>
                <w:color w:val="000000"/>
                <w:sz w:val="22"/>
                <w:szCs w:val="22"/>
              </w:rPr>
            </w:pPr>
            <w:r w:rsidRPr="004F709E">
              <w:rPr>
                <w:rFonts w:ascii="Calibri" w:eastAsia="Times New Roman" w:hAnsi="Calibri" w:cs="Times New Roman"/>
                <w:i/>
                <w:iCs/>
                <w:color w:val="000000"/>
                <w:sz w:val="22"/>
                <w:szCs w:val="22"/>
              </w:rPr>
              <w:t>Count</w:t>
            </w:r>
          </w:p>
        </w:tc>
        <w:tc>
          <w:tcPr>
            <w:tcW w:w="1415" w:type="dxa"/>
            <w:tcBorders>
              <w:top w:val="nil"/>
              <w:left w:val="nil"/>
              <w:bottom w:val="single" w:sz="4" w:space="0" w:color="auto"/>
              <w:right w:val="single" w:sz="4" w:space="0" w:color="auto"/>
            </w:tcBorders>
            <w:shd w:val="clear" w:color="auto" w:fill="auto"/>
            <w:noWrap/>
            <w:vAlign w:val="bottom"/>
            <w:hideMark/>
          </w:tcPr>
          <w:p w14:paraId="3AA298D8" w14:textId="77777777" w:rsidR="00692981" w:rsidRPr="004F709E" w:rsidRDefault="00692981" w:rsidP="006D0788">
            <w:pPr>
              <w:rPr>
                <w:rFonts w:ascii="Calibri" w:eastAsia="Times New Roman" w:hAnsi="Calibri" w:cs="Times New Roman"/>
                <w:i/>
                <w:iCs/>
                <w:color w:val="000000"/>
                <w:sz w:val="22"/>
                <w:szCs w:val="22"/>
              </w:rPr>
            </w:pPr>
            <w:r w:rsidRPr="004F709E">
              <w:rPr>
                <w:rFonts w:ascii="Calibri" w:eastAsia="Times New Roman" w:hAnsi="Calibri" w:cs="Times New Roman"/>
                <w:i/>
                <w:iCs/>
                <w:color w:val="000000"/>
                <w:sz w:val="22"/>
                <w:szCs w:val="22"/>
              </w:rPr>
              <w:t>%</w:t>
            </w:r>
          </w:p>
        </w:tc>
        <w:tc>
          <w:tcPr>
            <w:tcW w:w="293" w:type="dxa"/>
            <w:vMerge/>
            <w:tcBorders>
              <w:top w:val="nil"/>
              <w:left w:val="single" w:sz="4" w:space="0" w:color="auto"/>
              <w:bottom w:val="nil"/>
              <w:right w:val="single" w:sz="4" w:space="0" w:color="auto"/>
            </w:tcBorders>
            <w:vAlign w:val="center"/>
            <w:hideMark/>
          </w:tcPr>
          <w:p w14:paraId="0ACE690B"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14:paraId="2BA084EB"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1243" w:type="dxa"/>
            <w:tcBorders>
              <w:top w:val="nil"/>
              <w:left w:val="nil"/>
              <w:bottom w:val="single" w:sz="4" w:space="0" w:color="auto"/>
              <w:right w:val="single" w:sz="4" w:space="0" w:color="auto"/>
            </w:tcBorders>
            <w:shd w:val="clear" w:color="auto" w:fill="auto"/>
            <w:noWrap/>
            <w:vAlign w:val="bottom"/>
            <w:hideMark/>
          </w:tcPr>
          <w:p w14:paraId="4817EE82" w14:textId="77777777" w:rsidR="00692981" w:rsidRPr="004F709E" w:rsidRDefault="00692981" w:rsidP="006D0788">
            <w:pPr>
              <w:rPr>
                <w:rFonts w:ascii="Calibri" w:eastAsia="Times New Roman" w:hAnsi="Calibri" w:cs="Times New Roman"/>
                <w:i/>
                <w:iCs/>
                <w:color w:val="000000"/>
                <w:sz w:val="22"/>
                <w:szCs w:val="22"/>
              </w:rPr>
            </w:pPr>
            <w:r w:rsidRPr="004F709E">
              <w:rPr>
                <w:rFonts w:ascii="Calibri" w:eastAsia="Times New Roman" w:hAnsi="Calibri" w:cs="Times New Roman"/>
                <w:i/>
                <w:iCs/>
                <w:color w:val="000000"/>
                <w:sz w:val="22"/>
                <w:szCs w:val="22"/>
              </w:rPr>
              <w:t>Count</w:t>
            </w:r>
          </w:p>
        </w:tc>
        <w:tc>
          <w:tcPr>
            <w:tcW w:w="1831" w:type="dxa"/>
            <w:tcBorders>
              <w:top w:val="nil"/>
              <w:left w:val="nil"/>
              <w:bottom w:val="single" w:sz="4" w:space="0" w:color="auto"/>
              <w:right w:val="single" w:sz="4" w:space="0" w:color="auto"/>
            </w:tcBorders>
            <w:shd w:val="clear" w:color="auto" w:fill="auto"/>
            <w:noWrap/>
            <w:vAlign w:val="bottom"/>
            <w:hideMark/>
          </w:tcPr>
          <w:p w14:paraId="5925C179" w14:textId="77777777" w:rsidR="00692981" w:rsidRPr="004F709E" w:rsidRDefault="00692981" w:rsidP="006D0788">
            <w:pPr>
              <w:rPr>
                <w:rFonts w:ascii="Calibri" w:eastAsia="Times New Roman" w:hAnsi="Calibri" w:cs="Times New Roman"/>
                <w:i/>
                <w:iCs/>
                <w:color w:val="000000"/>
                <w:sz w:val="22"/>
                <w:szCs w:val="22"/>
              </w:rPr>
            </w:pPr>
            <w:r w:rsidRPr="004F709E">
              <w:rPr>
                <w:rFonts w:ascii="Calibri" w:eastAsia="Times New Roman" w:hAnsi="Calibri" w:cs="Times New Roman"/>
                <w:i/>
                <w:iCs/>
                <w:color w:val="000000"/>
                <w:sz w:val="22"/>
                <w:szCs w:val="22"/>
              </w:rPr>
              <w:t>%</w:t>
            </w:r>
          </w:p>
        </w:tc>
      </w:tr>
      <w:tr w:rsidR="00222F9E" w:rsidRPr="004F709E" w14:paraId="07B95721"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000000" w:fill="BFBFBF"/>
            <w:noWrap/>
            <w:vAlign w:val="bottom"/>
            <w:hideMark/>
          </w:tcPr>
          <w:p w14:paraId="6EE69837"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Hershey's Kisses</w:t>
            </w:r>
          </w:p>
        </w:tc>
        <w:tc>
          <w:tcPr>
            <w:tcW w:w="1052" w:type="dxa"/>
            <w:tcBorders>
              <w:top w:val="nil"/>
              <w:left w:val="nil"/>
              <w:bottom w:val="single" w:sz="4" w:space="0" w:color="auto"/>
              <w:right w:val="single" w:sz="4" w:space="0" w:color="auto"/>
            </w:tcBorders>
            <w:shd w:val="clear" w:color="000000" w:fill="BFBFBF"/>
            <w:noWrap/>
            <w:vAlign w:val="bottom"/>
            <w:hideMark/>
          </w:tcPr>
          <w:p w14:paraId="1F6A60FB"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26</w:t>
            </w:r>
          </w:p>
        </w:tc>
        <w:tc>
          <w:tcPr>
            <w:tcW w:w="1415" w:type="dxa"/>
            <w:tcBorders>
              <w:top w:val="nil"/>
              <w:left w:val="nil"/>
              <w:bottom w:val="single" w:sz="4" w:space="0" w:color="auto"/>
              <w:right w:val="single" w:sz="4" w:space="0" w:color="auto"/>
            </w:tcBorders>
            <w:shd w:val="clear" w:color="000000" w:fill="BFBFBF"/>
            <w:noWrap/>
            <w:vAlign w:val="bottom"/>
            <w:hideMark/>
          </w:tcPr>
          <w:p w14:paraId="4F173F58"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0.346666667</w:t>
            </w:r>
          </w:p>
        </w:tc>
        <w:tc>
          <w:tcPr>
            <w:tcW w:w="293" w:type="dxa"/>
            <w:vMerge/>
            <w:tcBorders>
              <w:top w:val="nil"/>
              <w:left w:val="single" w:sz="4" w:space="0" w:color="auto"/>
              <w:bottom w:val="nil"/>
              <w:right w:val="single" w:sz="4" w:space="0" w:color="auto"/>
            </w:tcBorders>
            <w:vAlign w:val="center"/>
            <w:hideMark/>
          </w:tcPr>
          <w:p w14:paraId="49E5FBB8"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000000" w:fill="BFBFBF"/>
            <w:noWrap/>
            <w:vAlign w:val="bottom"/>
            <w:hideMark/>
          </w:tcPr>
          <w:p w14:paraId="16F69923"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Hershey's Kisses</w:t>
            </w:r>
          </w:p>
        </w:tc>
        <w:tc>
          <w:tcPr>
            <w:tcW w:w="1243" w:type="dxa"/>
            <w:tcBorders>
              <w:top w:val="nil"/>
              <w:left w:val="nil"/>
              <w:bottom w:val="single" w:sz="4" w:space="0" w:color="auto"/>
              <w:right w:val="single" w:sz="4" w:space="0" w:color="auto"/>
            </w:tcBorders>
            <w:shd w:val="clear" w:color="000000" w:fill="BFBFBF"/>
            <w:noWrap/>
            <w:vAlign w:val="bottom"/>
            <w:hideMark/>
          </w:tcPr>
          <w:p w14:paraId="0D5D9EA6"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27</w:t>
            </w:r>
          </w:p>
        </w:tc>
        <w:tc>
          <w:tcPr>
            <w:tcW w:w="1831" w:type="dxa"/>
            <w:tcBorders>
              <w:top w:val="nil"/>
              <w:left w:val="nil"/>
              <w:bottom w:val="single" w:sz="4" w:space="0" w:color="auto"/>
              <w:right w:val="single" w:sz="4" w:space="0" w:color="auto"/>
            </w:tcBorders>
            <w:shd w:val="clear" w:color="000000" w:fill="BFBFBF"/>
            <w:noWrap/>
            <w:vAlign w:val="bottom"/>
            <w:hideMark/>
          </w:tcPr>
          <w:p w14:paraId="5B9BEBFE"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0.36</w:t>
            </w:r>
          </w:p>
        </w:tc>
      </w:tr>
      <w:tr w:rsidR="00222F9E" w:rsidRPr="004F709E" w14:paraId="593313EE"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C503705" w14:textId="77777777" w:rsidR="00692981" w:rsidRPr="004F709E" w:rsidRDefault="00692981" w:rsidP="006D0788">
            <w:pPr>
              <w:rPr>
                <w:rFonts w:ascii="Calibri" w:eastAsia="Times New Roman" w:hAnsi="Calibri" w:cs="Times New Roman"/>
                <w:color w:val="000000"/>
                <w:sz w:val="22"/>
                <w:szCs w:val="22"/>
              </w:rPr>
            </w:pPr>
            <w:proofErr w:type="spellStart"/>
            <w:r w:rsidRPr="004F709E">
              <w:rPr>
                <w:rFonts w:ascii="Calibri" w:eastAsia="Times New Roman" w:hAnsi="Calibri" w:cs="Times New Roman"/>
                <w:color w:val="000000"/>
                <w:sz w:val="22"/>
                <w:szCs w:val="22"/>
              </w:rPr>
              <w:t>Lindt</w:t>
            </w:r>
            <w:proofErr w:type="spellEnd"/>
          </w:p>
        </w:tc>
        <w:tc>
          <w:tcPr>
            <w:tcW w:w="1052" w:type="dxa"/>
            <w:tcBorders>
              <w:top w:val="nil"/>
              <w:left w:val="nil"/>
              <w:bottom w:val="single" w:sz="4" w:space="0" w:color="auto"/>
              <w:right w:val="single" w:sz="4" w:space="0" w:color="auto"/>
            </w:tcBorders>
            <w:shd w:val="clear" w:color="auto" w:fill="auto"/>
            <w:noWrap/>
            <w:vAlign w:val="bottom"/>
            <w:hideMark/>
          </w:tcPr>
          <w:p w14:paraId="5C5BB732"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22</w:t>
            </w:r>
          </w:p>
        </w:tc>
        <w:tc>
          <w:tcPr>
            <w:tcW w:w="1415" w:type="dxa"/>
            <w:tcBorders>
              <w:top w:val="nil"/>
              <w:left w:val="nil"/>
              <w:bottom w:val="single" w:sz="4" w:space="0" w:color="auto"/>
              <w:right w:val="single" w:sz="4" w:space="0" w:color="auto"/>
            </w:tcBorders>
            <w:shd w:val="clear" w:color="auto" w:fill="auto"/>
            <w:noWrap/>
            <w:vAlign w:val="bottom"/>
            <w:hideMark/>
          </w:tcPr>
          <w:p w14:paraId="458FE715"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0.293333333</w:t>
            </w:r>
          </w:p>
        </w:tc>
        <w:tc>
          <w:tcPr>
            <w:tcW w:w="293" w:type="dxa"/>
            <w:vMerge/>
            <w:tcBorders>
              <w:top w:val="nil"/>
              <w:left w:val="single" w:sz="4" w:space="0" w:color="auto"/>
              <w:bottom w:val="nil"/>
              <w:right w:val="single" w:sz="4" w:space="0" w:color="auto"/>
            </w:tcBorders>
            <w:vAlign w:val="center"/>
            <w:hideMark/>
          </w:tcPr>
          <w:p w14:paraId="3CA0FC60"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14:paraId="06FED05C" w14:textId="77777777" w:rsidR="00692981" w:rsidRPr="004F709E" w:rsidRDefault="00692981" w:rsidP="006D0788">
            <w:pPr>
              <w:rPr>
                <w:rFonts w:ascii="Calibri" w:eastAsia="Times New Roman" w:hAnsi="Calibri" w:cs="Times New Roman"/>
                <w:color w:val="000000"/>
                <w:sz w:val="22"/>
                <w:szCs w:val="22"/>
              </w:rPr>
            </w:pPr>
            <w:proofErr w:type="spellStart"/>
            <w:r w:rsidRPr="004F709E">
              <w:rPr>
                <w:rFonts w:ascii="Calibri" w:eastAsia="Times New Roman" w:hAnsi="Calibri" w:cs="Times New Roman"/>
                <w:color w:val="000000"/>
                <w:sz w:val="22"/>
                <w:szCs w:val="22"/>
              </w:rPr>
              <w:t>Lindt</w:t>
            </w:r>
            <w:proofErr w:type="spellEnd"/>
          </w:p>
        </w:tc>
        <w:tc>
          <w:tcPr>
            <w:tcW w:w="1243" w:type="dxa"/>
            <w:tcBorders>
              <w:top w:val="nil"/>
              <w:left w:val="nil"/>
              <w:bottom w:val="single" w:sz="4" w:space="0" w:color="auto"/>
              <w:right w:val="single" w:sz="4" w:space="0" w:color="auto"/>
            </w:tcBorders>
            <w:shd w:val="clear" w:color="auto" w:fill="auto"/>
            <w:noWrap/>
            <w:vAlign w:val="bottom"/>
            <w:hideMark/>
          </w:tcPr>
          <w:p w14:paraId="788C18F5"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19</w:t>
            </w:r>
          </w:p>
        </w:tc>
        <w:tc>
          <w:tcPr>
            <w:tcW w:w="1831" w:type="dxa"/>
            <w:tcBorders>
              <w:top w:val="nil"/>
              <w:left w:val="nil"/>
              <w:bottom w:val="single" w:sz="4" w:space="0" w:color="auto"/>
              <w:right w:val="single" w:sz="4" w:space="0" w:color="auto"/>
            </w:tcBorders>
            <w:shd w:val="clear" w:color="auto" w:fill="auto"/>
            <w:noWrap/>
            <w:vAlign w:val="bottom"/>
            <w:hideMark/>
          </w:tcPr>
          <w:p w14:paraId="31A67068"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0.253333333</w:t>
            </w:r>
          </w:p>
        </w:tc>
      </w:tr>
      <w:tr w:rsidR="00222F9E" w:rsidRPr="004F709E" w14:paraId="108AC6F6"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000000" w:fill="BFBFBF"/>
            <w:noWrap/>
            <w:vAlign w:val="bottom"/>
            <w:hideMark/>
          </w:tcPr>
          <w:p w14:paraId="17907C9C"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Equal Exchange</w:t>
            </w:r>
          </w:p>
        </w:tc>
        <w:tc>
          <w:tcPr>
            <w:tcW w:w="1052" w:type="dxa"/>
            <w:tcBorders>
              <w:top w:val="nil"/>
              <w:left w:val="nil"/>
              <w:bottom w:val="single" w:sz="4" w:space="0" w:color="auto"/>
              <w:right w:val="single" w:sz="4" w:space="0" w:color="auto"/>
            </w:tcBorders>
            <w:shd w:val="clear" w:color="000000" w:fill="BFBFBF"/>
            <w:noWrap/>
            <w:vAlign w:val="bottom"/>
            <w:hideMark/>
          </w:tcPr>
          <w:p w14:paraId="1D093CC6"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27</w:t>
            </w:r>
          </w:p>
        </w:tc>
        <w:tc>
          <w:tcPr>
            <w:tcW w:w="1415" w:type="dxa"/>
            <w:tcBorders>
              <w:top w:val="nil"/>
              <w:left w:val="nil"/>
              <w:bottom w:val="single" w:sz="4" w:space="0" w:color="auto"/>
              <w:right w:val="single" w:sz="4" w:space="0" w:color="auto"/>
            </w:tcBorders>
            <w:shd w:val="clear" w:color="000000" w:fill="BFBFBF"/>
            <w:noWrap/>
            <w:vAlign w:val="bottom"/>
            <w:hideMark/>
          </w:tcPr>
          <w:p w14:paraId="066D3214"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0.36</w:t>
            </w:r>
          </w:p>
        </w:tc>
        <w:tc>
          <w:tcPr>
            <w:tcW w:w="293" w:type="dxa"/>
            <w:vMerge/>
            <w:tcBorders>
              <w:top w:val="nil"/>
              <w:left w:val="single" w:sz="4" w:space="0" w:color="auto"/>
              <w:bottom w:val="nil"/>
              <w:right w:val="single" w:sz="4" w:space="0" w:color="auto"/>
            </w:tcBorders>
            <w:vAlign w:val="center"/>
            <w:hideMark/>
          </w:tcPr>
          <w:p w14:paraId="2626DAF2"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000000" w:fill="BFBFBF"/>
            <w:noWrap/>
            <w:vAlign w:val="bottom"/>
            <w:hideMark/>
          </w:tcPr>
          <w:p w14:paraId="3BAA39CD"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Equal Exchange</w:t>
            </w:r>
          </w:p>
        </w:tc>
        <w:tc>
          <w:tcPr>
            <w:tcW w:w="1243" w:type="dxa"/>
            <w:tcBorders>
              <w:top w:val="nil"/>
              <w:left w:val="nil"/>
              <w:bottom w:val="single" w:sz="4" w:space="0" w:color="auto"/>
              <w:right w:val="single" w:sz="4" w:space="0" w:color="auto"/>
            </w:tcBorders>
            <w:shd w:val="clear" w:color="000000" w:fill="BFBFBF"/>
            <w:noWrap/>
            <w:vAlign w:val="bottom"/>
            <w:hideMark/>
          </w:tcPr>
          <w:p w14:paraId="0C7836AE"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29</w:t>
            </w:r>
          </w:p>
        </w:tc>
        <w:tc>
          <w:tcPr>
            <w:tcW w:w="1831" w:type="dxa"/>
            <w:tcBorders>
              <w:top w:val="nil"/>
              <w:left w:val="nil"/>
              <w:bottom w:val="single" w:sz="4" w:space="0" w:color="auto"/>
              <w:right w:val="single" w:sz="4" w:space="0" w:color="auto"/>
            </w:tcBorders>
            <w:shd w:val="clear" w:color="000000" w:fill="BFBFBF"/>
            <w:noWrap/>
            <w:vAlign w:val="bottom"/>
            <w:hideMark/>
          </w:tcPr>
          <w:p w14:paraId="7AD67671"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0.386666667</w:t>
            </w:r>
          </w:p>
        </w:tc>
      </w:tr>
      <w:tr w:rsidR="00692981" w:rsidRPr="004F709E" w14:paraId="3160ACF9" w14:textId="77777777" w:rsidTr="00222F9E">
        <w:trPr>
          <w:trHeight w:val="265"/>
          <w:jc w:val="center"/>
        </w:trPr>
        <w:tc>
          <w:tcPr>
            <w:tcW w:w="41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F9339" w14:textId="77777777" w:rsidR="00692981" w:rsidRPr="004F709E" w:rsidRDefault="00692981" w:rsidP="006D0788">
            <w:pPr>
              <w:jc w:val="cente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293" w:type="dxa"/>
            <w:vMerge/>
            <w:tcBorders>
              <w:top w:val="nil"/>
              <w:left w:val="single" w:sz="4" w:space="0" w:color="auto"/>
              <w:bottom w:val="nil"/>
              <w:right w:val="single" w:sz="4" w:space="0" w:color="auto"/>
            </w:tcBorders>
            <w:vAlign w:val="center"/>
            <w:hideMark/>
          </w:tcPr>
          <w:p w14:paraId="05BFD2F8" w14:textId="77777777" w:rsidR="00692981" w:rsidRPr="004F709E" w:rsidRDefault="00692981" w:rsidP="006D0788">
            <w:pPr>
              <w:rPr>
                <w:rFonts w:ascii="Calibri" w:eastAsia="Times New Roman" w:hAnsi="Calibri" w:cs="Times New Roman"/>
                <w:color w:val="000000"/>
                <w:sz w:val="22"/>
                <w:szCs w:val="22"/>
              </w:rPr>
            </w:pPr>
          </w:p>
        </w:tc>
        <w:tc>
          <w:tcPr>
            <w:tcW w:w="50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0D1EBB" w14:textId="77777777" w:rsidR="00692981" w:rsidRPr="004F709E" w:rsidRDefault="00692981" w:rsidP="006D0788">
            <w:pPr>
              <w:jc w:val="cente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r>
      <w:tr w:rsidR="00222F9E" w:rsidRPr="004F709E" w14:paraId="4CC580C2"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000000" w:fill="BFBFBF"/>
            <w:noWrap/>
            <w:vAlign w:val="bottom"/>
            <w:hideMark/>
          </w:tcPr>
          <w:p w14:paraId="64D89968"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Sample Size (N)</w:t>
            </w:r>
          </w:p>
        </w:tc>
        <w:tc>
          <w:tcPr>
            <w:tcW w:w="1052" w:type="dxa"/>
            <w:tcBorders>
              <w:top w:val="nil"/>
              <w:left w:val="nil"/>
              <w:bottom w:val="single" w:sz="4" w:space="0" w:color="auto"/>
              <w:right w:val="single" w:sz="4" w:space="0" w:color="auto"/>
            </w:tcBorders>
            <w:shd w:val="clear" w:color="000000" w:fill="BFBFBF"/>
            <w:noWrap/>
            <w:vAlign w:val="bottom"/>
            <w:hideMark/>
          </w:tcPr>
          <w:p w14:paraId="64821986"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75</w:t>
            </w:r>
          </w:p>
        </w:tc>
        <w:tc>
          <w:tcPr>
            <w:tcW w:w="1415" w:type="dxa"/>
            <w:tcBorders>
              <w:top w:val="nil"/>
              <w:left w:val="nil"/>
              <w:bottom w:val="single" w:sz="4" w:space="0" w:color="auto"/>
              <w:right w:val="single" w:sz="4" w:space="0" w:color="auto"/>
            </w:tcBorders>
            <w:shd w:val="clear" w:color="000000" w:fill="BFBFBF"/>
            <w:noWrap/>
            <w:vAlign w:val="bottom"/>
            <w:hideMark/>
          </w:tcPr>
          <w:p w14:paraId="6E1A1559"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293" w:type="dxa"/>
            <w:vMerge/>
            <w:tcBorders>
              <w:top w:val="nil"/>
              <w:left w:val="single" w:sz="4" w:space="0" w:color="auto"/>
              <w:bottom w:val="nil"/>
              <w:right w:val="single" w:sz="4" w:space="0" w:color="auto"/>
            </w:tcBorders>
            <w:vAlign w:val="center"/>
            <w:hideMark/>
          </w:tcPr>
          <w:p w14:paraId="79B1F835"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000000" w:fill="BFBFBF"/>
            <w:noWrap/>
            <w:vAlign w:val="bottom"/>
            <w:hideMark/>
          </w:tcPr>
          <w:p w14:paraId="3B8BF347"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Sample Size (N)</w:t>
            </w:r>
          </w:p>
        </w:tc>
        <w:tc>
          <w:tcPr>
            <w:tcW w:w="1243" w:type="dxa"/>
            <w:tcBorders>
              <w:top w:val="nil"/>
              <w:left w:val="nil"/>
              <w:bottom w:val="single" w:sz="4" w:space="0" w:color="auto"/>
              <w:right w:val="single" w:sz="4" w:space="0" w:color="auto"/>
            </w:tcBorders>
            <w:shd w:val="clear" w:color="000000" w:fill="BFBFBF"/>
            <w:noWrap/>
            <w:vAlign w:val="bottom"/>
            <w:hideMark/>
          </w:tcPr>
          <w:p w14:paraId="0300C589" w14:textId="77777777" w:rsidR="00692981" w:rsidRPr="004F709E" w:rsidRDefault="00692981" w:rsidP="006D0788">
            <w:pPr>
              <w:jc w:val="right"/>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75</w:t>
            </w:r>
          </w:p>
        </w:tc>
        <w:tc>
          <w:tcPr>
            <w:tcW w:w="1831" w:type="dxa"/>
            <w:tcBorders>
              <w:top w:val="nil"/>
              <w:left w:val="nil"/>
              <w:bottom w:val="single" w:sz="4" w:space="0" w:color="auto"/>
              <w:right w:val="single" w:sz="4" w:space="0" w:color="auto"/>
            </w:tcBorders>
            <w:shd w:val="clear" w:color="000000" w:fill="BFBFBF"/>
            <w:noWrap/>
            <w:vAlign w:val="bottom"/>
            <w:hideMark/>
          </w:tcPr>
          <w:p w14:paraId="4FA6CAF9"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r>
      <w:tr w:rsidR="00222F9E" w:rsidRPr="004F709E" w14:paraId="3AFE42C0"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FE97C33"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Mean</w:t>
            </w:r>
          </w:p>
        </w:tc>
        <w:tc>
          <w:tcPr>
            <w:tcW w:w="1052" w:type="dxa"/>
            <w:tcBorders>
              <w:top w:val="nil"/>
              <w:left w:val="nil"/>
              <w:bottom w:val="single" w:sz="4" w:space="0" w:color="auto"/>
              <w:right w:val="single" w:sz="4" w:space="0" w:color="auto"/>
            </w:tcBorders>
            <w:shd w:val="clear" w:color="auto" w:fill="auto"/>
            <w:noWrap/>
            <w:vAlign w:val="bottom"/>
            <w:hideMark/>
          </w:tcPr>
          <w:p w14:paraId="4B4E95AE" w14:textId="732023AA"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r w:rsidR="00222F9E">
              <w:rPr>
                <w:rFonts w:ascii="Calibri" w:eastAsia="Times New Roman" w:hAnsi="Calibri" w:cs="Times New Roman"/>
                <w:color w:val="000000"/>
                <w:sz w:val="22"/>
                <w:szCs w:val="22"/>
              </w:rPr>
              <w:t>2.01333</w:t>
            </w:r>
          </w:p>
        </w:tc>
        <w:tc>
          <w:tcPr>
            <w:tcW w:w="1415" w:type="dxa"/>
            <w:tcBorders>
              <w:top w:val="nil"/>
              <w:left w:val="nil"/>
              <w:bottom w:val="single" w:sz="4" w:space="0" w:color="auto"/>
              <w:right w:val="single" w:sz="4" w:space="0" w:color="auto"/>
            </w:tcBorders>
            <w:shd w:val="clear" w:color="auto" w:fill="auto"/>
            <w:noWrap/>
            <w:vAlign w:val="bottom"/>
            <w:hideMark/>
          </w:tcPr>
          <w:p w14:paraId="20D1164B"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293" w:type="dxa"/>
            <w:vMerge/>
            <w:tcBorders>
              <w:top w:val="nil"/>
              <w:left w:val="single" w:sz="4" w:space="0" w:color="auto"/>
              <w:bottom w:val="nil"/>
              <w:right w:val="single" w:sz="4" w:space="0" w:color="auto"/>
            </w:tcBorders>
            <w:vAlign w:val="center"/>
            <w:hideMark/>
          </w:tcPr>
          <w:p w14:paraId="10510C2C"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14:paraId="104CAE0F"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Mean</w:t>
            </w:r>
          </w:p>
        </w:tc>
        <w:tc>
          <w:tcPr>
            <w:tcW w:w="1243" w:type="dxa"/>
            <w:tcBorders>
              <w:top w:val="nil"/>
              <w:left w:val="nil"/>
              <w:bottom w:val="single" w:sz="4" w:space="0" w:color="auto"/>
              <w:right w:val="single" w:sz="4" w:space="0" w:color="auto"/>
            </w:tcBorders>
            <w:shd w:val="clear" w:color="auto" w:fill="auto"/>
            <w:noWrap/>
            <w:vAlign w:val="bottom"/>
            <w:hideMark/>
          </w:tcPr>
          <w:p w14:paraId="68BE2028" w14:textId="4CA14EA2"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r w:rsidR="00222F9E">
              <w:rPr>
                <w:rFonts w:ascii="Calibri" w:eastAsia="Times New Roman" w:hAnsi="Calibri" w:cs="Times New Roman"/>
                <w:color w:val="000000"/>
                <w:sz w:val="22"/>
                <w:szCs w:val="22"/>
              </w:rPr>
              <w:t>2.02667</w:t>
            </w:r>
          </w:p>
        </w:tc>
        <w:tc>
          <w:tcPr>
            <w:tcW w:w="1831" w:type="dxa"/>
            <w:tcBorders>
              <w:top w:val="nil"/>
              <w:left w:val="nil"/>
              <w:bottom w:val="single" w:sz="4" w:space="0" w:color="auto"/>
              <w:right w:val="single" w:sz="4" w:space="0" w:color="auto"/>
            </w:tcBorders>
            <w:shd w:val="clear" w:color="auto" w:fill="auto"/>
            <w:noWrap/>
            <w:vAlign w:val="bottom"/>
            <w:hideMark/>
          </w:tcPr>
          <w:p w14:paraId="60E48CE6"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r>
      <w:tr w:rsidR="00222F9E" w:rsidRPr="004F709E" w14:paraId="20BB5D54"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000000" w:fill="BFBFBF"/>
            <w:noWrap/>
            <w:vAlign w:val="bottom"/>
            <w:hideMark/>
          </w:tcPr>
          <w:p w14:paraId="47538881"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Median</w:t>
            </w:r>
          </w:p>
        </w:tc>
        <w:tc>
          <w:tcPr>
            <w:tcW w:w="1052" w:type="dxa"/>
            <w:tcBorders>
              <w:top w:val="nil"/>
              <w:left w:val="nil"/>
              <w:bottom w:val="single" w:sz="4" w:space="0" w:color="auto"/>
              <w:right w:val="single" w:sz="4" w:space="0" w:color="auto"/>
            </w:tcBorders>
            <w:shd w:val="clear" w:color="000000" w:fill="BFBFBF"/>
            <w:noWrap/>
            <w:vAlign w:val="bottom"/>
            <w:hideMark/>
          </w:tcPr>
          <w:p w14:paraId="6AA8A503" w14:textId="33051D68"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r w:rsidR="00222F9E">
              <w:rPr>
                <w:rFonts w:ascii="Calibri" w:eastAsia="Times New Roman" w:hAnsi="Calibri" w:cs="Times New Roman"/>
                <w:color w:val="000000"/>
                <w:sz w:val="22"/>
                <w:szCs w:val="22"/>
              </w:rPr>
              <w:t>2</w:t>
            </w:r>
          </w:p>
        </w:tc>
        <w:tc>
          <w:tcPr>
            <w:tcW w:w="1415" w:type="dxa"/>
            <w:tcBorders>
              <w:top w:val="nil"/>
              <w:left w:val="nil"/>
              <w:bottom w:val="single" w:sz="4" w:space="0" w:color="auto"/>
              <w:right w:val="single" w:sz="4" w:space="0" w:color="auto"/>
            </w:tcBorders>
            <w:shd w:val="clear" w:color="000000" w:fill="BFBFBF"/>
            <w:noWrap/>
            <w:vAlign w:val="bottom"/>
            <w:hideMark/>
          </w:tcPr>
          <w:p w14:paraId="62CF505C"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293" w:type="dxa"/>
            <w:vMerge/>
            <w:tcBorders>
              <w:top w:val="nil"/>
              <w:left w:val="single" w:sz="4" w:space="0" w:color="auto"/>
              <w:bottom w:val="nil"/>
              <w:right w:val="single" w:sz="4" w:space="0" w:color="auto"/>
            </w:tcBorders>
            <w:vAlign w:val="center"/>
            <w:hideMark/>
          </w:tcPr>
          <w:p w14:paraId="464AC552"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000000" w:fill="BFBFBF"/>
            <w:noWrap/>
            <w:vAlign w:val="bottom"/>
            <w:hideMark/>
          </w:tcPr>
          <w:p w14:paraId="3D80A3D8"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Median</w:t>
            </w:r>
          </w:p>
        </w:tc>
        <w:tc>
          <w:tcPr>
            <w:tcW w:w="1243" w:type="dxa"/>
            <w:tcBorders>
              <w:top w:val="nil"/>
              <w:left w:val="nil"/>
              <w:bottom w:val="single" w:sz="4" w:space="0" w:color="auto"/>
              <w:right w:val="single" w:sz="4" w:space="0" w:color="auto"/>
            </w:tcBorders>
            <w:shd w:val="clear" w:color="000000" w:fill="BFBFBF"/>
            <w:noWrap/>
            <w:vAlign w:val="bottom"/>
            <w:hideMark/>
          </w:tcPr>
          <w:p w14:paraId="0B1A7322" w14:textId="21D3664D"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r w:rsidR="00222F9E">
              <w:rPr>
                <w:rFonts w:ascii="Calibri" w:eastAsia="Times New Roman" w:hAnsi="Calibri" w:cs="Times New Roman"/>
                <w:color w:val="000000"/>
                <w:sz w:val="22"/>
                <w:szCs w:val="22"/>
              </w:rPr>
              <w:t>2</w:t>
            </w:r>
          </w:p>
        </w:tc>
        <w:tc>
          <w:tcPr>
            <w:tcW w:w="1831" w:type="dxa"/>
            <w:tcBorders>
              <w:top w:val="nil"/>
              <w:left w:val="nil"/>
              <w:bottom w:val="single" w:sz="4" w:space="0" w:color="auto"/>
              <w:right w:val="single" w:sz="4" w:space="0" w:color="auto"/>
            </w:tcBorders>
            <w:shd w:val="clear" w:color="000000" w:fill="BFBFBF"/>
            <w:noWrap/>
            <w:vAlign w:val="bottom"/>
            <w:hideMark/>
          </w:tcPr>
          <w:p w14:paraId="10BF94C7"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r>
      <w:tr w:rsidR="00222F9E" w:rsidRPr="004F709E" w14:paraId="6145AA8D" w14:textId="77777777" w:rsidTr="00222F9E">
        <w:trPr>
          <w:trHeight w:val="265"/>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EF81A7C"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Mode</w:t>
            </w:r>
          </w:p>
        </w:tc>
        <w:tc>
          <w:tcPr>
            <w:tcW w:w="1052" w:type="dxa"/>
            <w:tcBorders>
              <w:top w:val="nil"/>
              <w:left w:val="nil"/>
              <w:bottom w:val="single" w:sz="4" w:space="0" w:color="auto"/>
              <w:right w:val="single" w:sz="4" w:space="0" w:color="auto"/>
            </w:tcBorders>
            <w:shd w:val="clear" w:color="auto" w:fill="auto"/>
            <w:noWrap/>
            <w:vAlign w:val="bottom"/>
            <w:hideMark/>
          </w:tcPr>
          <w:p w14:paraId="1F1CDF04" w14:textId="6645E0F1"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r w:rsidR="00222F9E">
              <w:rPr>
                <w:rFonts w:ascii="Calibri" w:eastAsia="Times New Roman" w:hAnsi="Calibri" w:cs="Times New Roman"/>
                <w:color w:val="000000"/>
                <w:sz w:val="22"/>
                <w:szCs w:val="22"/>
              </w:rPr>
              <w:t>3</w:t>
            </w:r>
          </w:p>
        </w:tc>
        <w:tc>
          <w:tcPr>
            <w:tcW w:w="1415" w:type="dxa"/>
            <w:tcBorders>
              <w:top w:val="nil"/>
              <w:left w:val="nil"/>
              <w:bottom w:val="single" w:sz="4" w:space="0" w:color="auto"/>
              <w:right w:val="single" w:sz="4" w:space="0" w:color="auto"/>
            </w:tcBorders>
            <w:shd w:val="clear" w:color="auto" w:fill="auto"/>
            <w:noWrap/>
            <w:vAlign w:val="bottom"/>
            <w:hideMark/>
          </w:tcPr>
          <w:p w14:paraId="31A4595F"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c>
          <w:tcPr>
            <w:tcW w:w="293" w:type="dxa"/>
            <w:vMerge/>
            <w:tcBorders>
              <w:top w:val="nil"/>
              <w:left w:val="single" w:sz="4" w:space="0" w:color="auto"/>
              <w:bottom w:val="nil"/>
              <w:right w:val="single" w:sz="4" w:space="0" w:color="auto"/>
            </w:tcBorders>
            <w:vAlign w:val="center"/>
            <w:hideMark/>
          </w:tcPr>
          <w:p w14:paraId="09055ED7" w14:textId="77777777" w:rsidR="00692981" w:rsidRPr="004F709E" w:rsidRDefault="00692981" w:rsidP="006D0788">
            <w:pPr>
              <w:rPr>
                <w:rFonts w:ascii="Calibri" w:eastAsia="Times New Roman" w:hAnsi="Calibri" w:cs="Times New Roman"/>
                <w:color w:val="000000"/>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14:paraId="2E1422F7"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Mode</w:t>
            </w:r>
          </w:p>
        </w:tc>
        <w:tc>
          <w:tcPr>
            <w:tcW w:w="1243" w:type="dxa"/>
            <w:tcBorders>
              <w:top w:val="nil"/>
              <w:left w:val="nil"/>
              <w:bottom w:val="single" w:sz="4" w:space="0" w:color="auto"/>
              <w:right w:val="single" w:sz="4" w:space="0" w:color="auto"/>
            </w:tcBorders>
            <w:shd w:val="clear" w:color="auto" w:fill="auto"/>
            <w:noWrap/>
            <w:vAlign w:val="bottom"/>
            <w:hideMark/>
          </w:tcPr>
          <w:p w14:paraId="558E34CC" w14:textId="46086F44"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r w:rsidR="00222F9E">
              <w:rPr>
                <w:rFonts w:ascii="Calibri" w:eastAsia="Times New Roman" w:hAnsi="Calibri" w:cs="Times New Roman"/>
                <w:color w:val="000000"/>
                <w:sz w:val="22"/>
                <w:szCs w:val="22"/>
              </w:rPr>
              <w:t>3</w:t>
            </w:r>
          </w:p>
        </w:tc>
        <w:tc>
          <w:tcPr>
            <w:tcW w:w="1831" w:type="dxa"/>
            <w:tcBorders>
              <w:top w:val="nil"/>
              <w:left w:val="nil"/>
              <w:bottom w:val="single" w:sz="4" w:space="0" w:color="auto"/>
              <w:right w:val="single" w:sz="4" w:space="0" w:color="auto"/>
            </w:tcBorders>
            <w:shd w:val="clear" w:color="auto" w:fill="auto"/>
            <w:noWrap/>
            <w:vAlign w:val="bottom"/>
            <w:hideMark/>
          </w:tcPr>
          <w:p w14:paraId="4B8C527F" w14:textId="77777777" w:rsidR="00692981" w:rsidRPr="004F709E" w:rsidRDefault="00692981" w:rsidP="006D0788">
            <w:pPr>
              <w:rPr>
                <w:rFonts w:ascii="Calibri" w:eastAsia="Times New Roman" w:hAnsi="Calibri" w:cs="Times New Roman"/>
                <w:color w:val="000000"/>
                <w:sz w:val="22"/>
                <w:szCs w:val="22"/>
              </w:rPr>
            </w:pPr>
            <w:r w:rsidRPr="004F709E">
              <w:rPr>
                <w:rFonts w:ascii="Calibri" w:eastAsia="Times New Roman" w:hAnsi="Calibri" w:cs="Times New Roman"/>
                <w:color w:val="000000"/>
                <w:sz w:val="22"/>
                <w:szCs w:val="22"/>
              </w:rPr>
              <w:t> </w:t>
            </w:r>
          </w:p>
        </w:tc>
      </w:tr>
    </w:tbl>
    <w:p w14:paraId="48ACC9F3" w14:textId="77777777" w:rsidR="00692981" w:rsidRDefault="00692981" w:rsidP="00692981"/>
    <w:p w14:paraId="253A3FCF" w14:textId="549B2A49" w:rsidR="00A6748C" w:rsidRDefault="00692981" w:rsidP="00215E96">
      <w:pPr>
        <w:spacing w:line="480" w:lineRule="auto"/>
        <w:ind w:firstLine="720"/>
      </w:pPr>
      <w:r>
        <w:t>To test our first hypothesis, we ran a t-test, assuming equal variance, to determine if there was a statistically significant difference in purchasing decisions when labels are present versus when they are not. Our data showed that there was not a statistically significant difference in average choice between the two trials, indicating that the presence of labels in general does not have an effect on Mille</w:t>
      </w:r>
      <w:r w:rsidR="00215E96">
        <w:t>nnials’ purchasing behaviors.</w:t>
      </w:r>
    </w:p>
    <w:p w14:paraId="46AEA7F7" w14:textId="77777777" w:rsidR="00A6748C" w:rsidRDefault="00A6748C" w:rsidP="00692981"/>
    <w:tbl>
      <w:tblPr>
        <w:tblW w:w="8280" w:type="dxa"/>
        <w:jc w:val="center"/>
        <w:tblInd w:w="93" w:type="dxa"/>
        <w:tblLook w:val="04A0" w:firstRow="1" w:lastRow="0" w:firstColumn="1" w:lastColumn="0" w:noHBand="0" w:noVBand="1"/>
      </w:tblPr>
      <w:tblGrid>
        <w:gridCol w:w="2390"/>
        <w:gridCol w:w="1402"/>
        <w:gridCol w:w="3462"/>
        <w:gridCol w:w="1026"/>
      </w:tblGrid>
      <w:tr w:rsidR="00692981" w:rsidRPr="007F2F21" w14:paraId="137CCC3B" w14:textId="77777777" w:rsidTr="0010426C">
        <w:trPr>
          <w:trHeight w:val="320"/>
          <w:jc w:val="center"/>
        </w:trPr>
        <w:tc>
          <w:tcPr>
            <w:tcW w:w="8280" w:type="dxa"/>
            <w:gridSpan w:val="4"/>
            <w:tcBorders>
              <w:top w:val="single" w:sz="8" w:space="0" w:color="auto"/>
              <w:left w:val="single" w:sz="8" w:space="0" w:color="auto"/>
              <w:bottom w:val="single" w:sz="8" w:space="0" w:color="auto"/>
              <w:right w:val="single" w:sz="8" w:space="0" w:color="000000"/>
            </w:tcBorders>
            <w:shd w:val="clear" w:color="FFFFFF" w:fill="FFFFFF"/>
            <w:noWrap/>
            <w:vAlign w:val="bottom"/>
            <w:hideMark/>
          </w:tcPr>
          <w:p w14:paraId="00B74FCB" w14:textId="77777777" w:rsidR="00692981" w:rsidRPr="007F2F21" w:rsidRDefault="00692981" w:rsidP="006D0788">
            <w:pPr>
              <w:jc w:val="center"/>
              <w:rPr>
                <w:rFonts w:ascii="Arial" w:eastAsia="Times New Roman" w:hAnsi="Arial" w:cs="Arial"/>
                <w:b/>
                <w:bCs/>
                <w:color w:val="000000"/>
                <w:sz w:val="20"/>
                <w:szCs w:val="20"/>
              </w:rPr>
            </w:pPr>
            <w:r w:rsidRPr="007F2F21">
              <w:rPr>
                <w:rFonts w:ascii="Arial" w:eastAsia="Times New Roman" w:hAnsi="Arial" w:cs="Arial"/>
                <w:b/>
                <w:bCs/>
                <w:color w:val="000000"/>
                <w:sz w:val="20"/>
                <w:szCs w:val="20"/>
              </w:rPr>
              <w:t xml:space="preserve">Comparing Means </w:t>
            </w:r>
            <w:proofErr w:type="gramStart"/>
            <w:r w:rsidRPr="007F2F21">
              <w:rPr>
                <w:rFonts w:ascii="Arial" w:eastAsia="Times New Roman" w:hAnsi="Arial" w:cs="Arial"/>
                <w:b/>
                <w:bCs/>
                <w:color w:val="000000"/>
                <w:sz w:val="20"/>
                <w:szCs w:val="20"/>
              </w:rPr>
              <w:t>[ t</w:t>
            </w:r>
            <w:proofErr w:type="gramEnd"/>
            <w:r w:rsidRPr="007F2F21">
              <w:rPr>
                <w:rFonts w:ascii="Arial" w:eastAsia="Times New Roman" w:hAnsi="Arial" w:cs="Arial"/>
                <w:b/>
                <w:bCs/>
                <w:color w:val="000000"/>
                <w:sz w:val="20"/>
                <w:szCs w:val="20"/>
              </w:rPr>
              <w:t>-test assuming equal variances ]</w:t>
            </w:r>
          </w:p>
        </w:tc>
      </w:tr>
      <w:tr w:rsidR="00692981" w:rsidRPr="007F2F21" w14:paraId="498FA4E0" w14:textId="77777777" w:rsidTr="0010426C">
        <w:trPr>
          <w:trHeight w:val="320"/>
          <w:jc w:val="center"/>
        </w:trPr>
        <w:tc>
          <w:tcPr>
            <w:tcW w:w="8280" w:type="dxa"/>
            <w:gridSpan w:val="4"/>
            <w:tcBorders>
              <w:top w:val="nil"/>
              <w:left w:val="nil"/>
              <w:bottom w:val="single" w:sz="8" w:space="0" w:color="000000"/>
              <w:right w:val="nil"/>
            </w:tcBorders>
            <w:shd w:val="clear" w:color="000000" w:fill="BFBFBF"/>
            <w:noWrap/>
            <w:vAlign w:val="bottom"/>
            <w:hideMark/>
          </w:tcPr>
          <w:p w14:paraId="35B3B0BA"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Descriptive Statistics</w:t>
            </w:r>
          </w:p>
        </w:tc>
      </w:tr>
      <w:tr w:rsidR="00692981" w:rsidRPr="007F2F21" w14:paraId="2D48830F" w14:textId="77777777" w:rsidTr="0010426C">
        <w:trPr>
          <w:trHeight w:val="300"/>
          <w:jc w:val="center"/>
        </w:trPr>
        <w:tc>
          <w:tcPr>
            <w:tcW w:w="2390" w:type="dxa"/>
            <w:tcBorders>
              <w:top w:val="nil"/>
              <w:left w:val="nil"/>
              <w:bottom w:val="single" w:sz="4" w:space="0" w:color="000000"/>
              <w:right w:val="nil"/>
            </w:tcBorders>
            <w:shd w:val="clear" w:color="auto" w:fill="auto"/>
            <w:noWrap/>
            <w:vAlign w:val="bottom"/>
            <w:hideMark/>
          </w:tcPr>
          <w:p w14:paraId="26B50AAE" w14:textId="77777777" w:rsidR="00692981" w:rsidRPr="007F2F21" w:rsidRDefault="00692981"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VAR</w:t>
            </w:r>
          </w:p>
        </w:tc>
        <w:tc>
          <w:tcPr>
            <w:tcW w:w="1402" w:type="dxa"/>
            <w:tcBorders>
              <w:top w:val="nil"/>
              <w:left w:val="nil"/>
              <w:bottom w:val="single" w:sz="4" w:space="0" w:color="000000"/>
              <w:right w:val="nil"/>
            </w:tcBorders>
            <w:shd w:val="clear" w:color="auto" w:fill="auto"/>
            <w:noWrap/>
            <w:vAlign w:val="bottom"/>
            <w:hideMark/>
          </w:tcPr>
          <w:p w14:paraId="0A677EDE" w14:textId="77777777" w:rsidR="00692981" w:rsidRPr="007F2F21" w:rsidRDefault="00692981"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Sample size</w:t>
            </w:r>
          </w:p>
        </w:tc>
        <w:tc>
          <w:tcPr>
            <w:tcW w:w="3462" w:type="dxa"/>
            <w:tcBorders>
              <w:top w:val="nil"/>
              <w:left w:val="nil"/>
              <w:bottom w:val="single" w:sz="4" w:space="0" w:color="000000"/>
              <w:right w:val="nil"/>
            </w:tcBorders>
            <w:shd w:val="clear" w:color="auto" w:fill="auto"/>
            <w:noWrap/>
            <w:vAlign w:val="bottom"/>
            <w:hideMark/>
          </w:tcPr>
          <w:p w14:paraId="3F7AD354" w14:textId="77777777" w:rsidR="00692981" w:rsidRPr="007F2F21" w:rsidRDefault="00692981"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Mean</w:t>
            </w:r>
          </w:p>
        </w:tc>
        <w:tc>
          <w:tcPr>
            <w:tcW w:w="1026" w:type="dxa"/>
            <w:tcBorders>
              <w:top w:val="nil"/>
              <w:left w:val="nil"/>
              <w:bottom w:val="single" w:sz="4" w:space="0" w:color="000000"/>
              <w:right w:val="nil"/>
            </w:tcBorders>
            <w:shd w:val="clear" w:color="auto" w:fill="auto"/>
            <w:noWrap/>
            <w:vAlign w:val="bottom"/>
            <w:hideMark/>
          </w:tcPr>
          <w:p w14:paraId="660A1EB2" w14:textId="77777777" w:rsidR="00692981" w:rsidRPr="007F2F21" w:rsidRDefault="00692981"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Variance</w:t>
            </w:r>
          </w:p>
        </w:tc>
      </w:tr>
      <w:tr w:rsidR="00692981" w:rsidRPr="007F2F21" w14:paraId="1A04AF24" w14:textId="77777777" w:rsidTr="0010426C">
        <w:trPr>
          <w:trHeight w:val="300"/>
          <w:jc w:val="center"/>
        </w:trPr>
        <w:tc>
          <w:tcPr>
            <w:tcW w:w="2390" w:type="dxa"/>
            <w:tcBorders>
              <w:top w:val="nil"/>
              <w:left w:val="nil"/>
              <w:bottom w:val="nil"/>
              <w:right w:val="nil"/>
            </w:tcBorders>
            <w:shd w:val="clear" w:color="000000" w:fill="BFBFBF"/>
            <w:noWrap/>
            <w:vAlign w:val="bottom"/>
            <w:hideMark/>
          </w:tcPr>
          <w:p w14:paraId="51D89B9B"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 </w:t>
            </w:r>
          </w:p>
        </w:tc>
        <w:tc>
          <w:tcPr>
            <w:tcW w:w="1402" w:type="dxa"/>
            <w:tcBorders>
              <w:top w:val="nil"/>
              <w:left w:val="nil"/>
              <w:bottom w:val="nil"/>
              <w:right w:val="nil"/>
            </w:tcBorders>
            <w:shd w:val="clear" w:color="000000" w:fill="BFBFBF"/>
            <w:noWrap/>
            <w:vAlign w:val="bottom"/>
            <w:hideMark/>
          </w:tcPr>
          <w:p w14:paraId="7DD67C3F"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75</w:t>
            </w:r>
          </w:p>
        </w:tc>
        <w:tc>
          <w:tcPr>
            <w:tcW w:w="3462" w:type="dxa"/>
            <w:tcBorders>
              <w:top w:val="nil"/>
              <w:left w:val="nil"/>
              <w:bottom w:val="nil"/>
              <w:right w:val="nil"/>
            </w:tcBorders>
            <w:shd w:val="clear" w:color="000000" w:fill="BFBFBF"/>
            <w:noWrap/>
            <w:vAlign w:val="bottom"/>
            <w:hideMark/>
          </w:tcPr>
          <w:p w14:paraId="28696F27"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2.01333</w:t>
            </w:r>
          </w:p>
        </w:tc>
        <w:tc>
          <w:tcPr>
            <w:tcW w:w="1026" w:type="dxa"/>
            <w:tcBorders>
              <w:top w:val="nil"/>
              <w:left w:val="nil"/>
              <w:bottom w:val="nil"/>
              <w:right w:val="nil"/>
            </w:tcBorders>
            <w:shd w:val="clear" w:color="000000" w:fill="BFBFBF"/>
            <w:noWrap/>
            <w:vAlign w:val="bottom"/>
            <w:hideMark/>
          </w:tcPr>
          <w:p w14:paraId="6FDA0527"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0.71604</w:t>
            </w:r>
          </w:p>
        </w:tc>
      </w:tr>
      <w:tr w:rsidR="00692981" w:rsidRPr="007F2F21" w14:paraId="6462A5BF" w14:textId="77777777" w:rsidTr="0010426C">
        <w:trPr>
          <w:trHeight w:val="320"/>
          <w:jc w:val="center"/>
        </w:trPr>
        <w:tc>
          <w:tcPr>
            <w:tcW w:w="2390" w:type="dxa"/>
            <w:tcBorders>
              <w:top w:val="nil"/>
              <w:left w:val="nil"/>
              <w:bottom w:val="single" w:sz="8" w:space="0" w:color="auto"/>
              <w:right w:val="nil"/>
            </w:tcBorders>
            <w:shd w:val="clear" w:color="auto" w:fill="auto"/>
            <w:noWrap/>
            <w:vAlign w:val="bottom"/>
            <w:hideMark/>
          </w:tcPr>
          <w:p w14:paraId="40BFC93A"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 </w:t>
            </w:r>
          </w:p>
        </w:tc>
        <w:tc>
          <w:tcPr>
            <w:tcW w:w="1402" w:type="dxa"/>
            <w:tcBorders>
              <w:top w:val="nil"/>
              <w:left w:val="nil"/>
              <w:bottom w:val="single" w:sz="8" w:space="0" w:color="auto"/>
              <w:right w:val="nil"/>
            </w:tcBorders>
            <w:shd w:val="clear" w:color="auto" w:fill="auto"/>
            <w:noWrap/>
            <w:vAlign w:val="bottom"/>
            <w:hideMark/>
          </w:tcPr>
          <w:p w14:paraId="1897850C"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75</w:t>
            </w:r>
          </w:p>
        </w:tc>
        <w:tc>
          <w:tcPr>
            <w:tcW w:w="3462" w:type="dxa"/>
            <w:tcBorders>
              <w:top w:val="nil"/>
              <w:left w:val="nil"/>
              <w:bottom w:val="single" w:sz="8" w:space="0" w:color="auto"/>
              <w:right w:val="nil"/>
            </w:tcBorders>
            <w:shd w:val="clear" w:color="auto" w:fill="auto"/>
            <w:noWrap/>
            <w:vAlign w:val="bottom"/>
            <w:hideMark/>
          </w:tcPr>
          <w:p w14:paraId="07D7E213"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2.02667</w:t>
            </w:r>
          </w:p>
        </w:tc>
        <w:tc>
          <w:tcPr>
            <w:tcW w:w="1026" w:type="dxa"/>
            <w:tcBorders>
              <w:top w:val="nil"/>
              <w:left w:val="nil"/>
              <w:bottom w:val="single" w:sz="8" w:space="0" w:color="auto"/>
              <w:right w:val="nil"/>
            </w:tcBorders>
            <w:shd w:val="clear" w:color="auto" w:fill="auto"/>
            <w:noWrap/>
            <w:vAlign w:val="bottom"/>
            <w:hideMark/>
          </w:tcPr>
          <w:p w14:paraId="000895AC"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0.75603</w:t>
            </w:r>
          </w:p>
        </w:tc>
      </w:tr>
      <w:tr w:rsidR="00692981" w:rsidRPr="007F2F21" w14:paraId="116CBA42" w14:textId="77777777" w:rsidTr="0010426C">
        <w:trPr>
          <w:trHeight w:val="300"/>
          <w:jc w:val="center"/>
        </w:trPr>
        <w:tc>
          <w:tcPr>
            <w:tcW w:w="2390" w:type="dxa"/>
            <w:tcBorders>
              <w:top w:val="nil"/>
              <w:left w:val="nil"/>
              <w:bottom w:val="nil"/>
              <w:right w:val="nil"/>
            </w:tcBorders>
            <w:shd w:val="clear" w:color="000000" w:fill="BFBFBF"/>
            <w:noWrap/>
            <w:vAlign w:val="bottom"/>
            <w:hideMark/>
          </w:tcPr>
          <w:p w14:paraId="377D8E6B"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Degrees Of Freedom</w:t>
            </w:r>
          </w:p>
        </w:tc>
        <w:tc>
          <w:tcPr>
            <w:tcW w:w="1402" w:type="dxa"/>
            <w:tcBorders>
              <w:top w:val="nil"/>
              <w:left w:val="nil"/>
              <w:bottom w:val="nil"/>
              <w:right w:val="nil"/>
            </w:tcBorders>
            <w:shd w:val="clear" w:color="000000" w:fill="BFBFBF"/>
            <w:noWrap/>
            <w:vAlign w:val="bottom"/>
            <w:hideMark/>
          </w:tcPr>
          <w:p w14:paraId="66CD73EA"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148</w:t>
            </w:r>
          </w:p>
        </w:tc>
        <w:tc>
          <w:tcPr>
            <w:tcW w:w="3462" w:type="dxa"/>
            <w:tcBorders>
              <w:top w:val="nil"/>
              <w:left w:val="nil"/>
              <w:bottom w:val="nil"/>
              <w:right w:val="nil"/>
            </w:tcBorders>
            <w:shd w:val="clear" w:color="000000" w:fill="BFBFBF"/>
            <w:noWrap/>
            <w:vAlign w:val="bottom"/>
            <w:hideMark/>
          </w:tcPr>
          <w:p w14:paraId="72E4B810"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Hypothesized Mean Difference</w:t>
            </w:r>
          </w:p>
        </w:tc>
        <w:tc>
          <w:tcPr>
            <w:tcW w:w="1026" w:type="dxa"/>
            <w:tcBorders>
              <w:top w:val="nil"/>
              <w:left w:val="nil"/>
              <w:bottom w:val="nil"/>
              <w:right w:val="nil"/>
            </w:tcBorders>
            <w:shd w:val="clear" w:color="000000" w:fill="BFBFBF"/>
            <w:noWrap/>
            <w:vAlign w:val="bottom"/>
            <w:hideMark/>
          </w:tcPr>
          <w:p w14:paraId="4B7638C5"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0.E+0</w:t>
            </w:r>
          </w:p>
        </w:tc>
      </w:tr>
      <w:tr w:rsidR="00692981" w:rsidRPr="007F2F21" w14:paraId="25900EBC" w14:textId="77777777" w:rsidTr="0010426C">
        <w:trPr>
          <w:trHeight w:val="300"/>
          <w:jc w:val="center"/>
        </w:trPr>
        <w:tc>
          <w:tcPr>
            <w:tcW w:w="2390" w:type="dxa"/>
            <w:tcBorders>
              <w:top w:val="nil"/>
              <w:left w:val="nil"/>
              <w:bottom w:val="nil"/>
              <w:right w:val="nil"/>
            </w:tcBorders>
            <w:shd w:val="clear" w:color="auto" w:fill="auto"/>
            <w:noWrap/>
            <w:vAlign w:val="bottom"/>
            <w:hideMark/>
          </w:tcPr>
          <w:p w14:paraId="13321D8B"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Test Statistics</w:t>
            </w:r>
          </w:p>
        </w:tc>
        <w:tc>
          <w:tcPr>
            <w:tcW w:w="1402" w:type="dxa"/>
            <w:tcBorders>
              <w:top w:val="nil"/>
              <w:left w:val="nil"/>
              <w:bottom w:val="nil"/>
              <w:right w:val="nil"/>
            </w:tcBorders>
            <w:shd w:val="clear" w:color="auto" w:fill="auto"/>
            <w:noWrap/>
            <w:vAlign w:val="bottom"/>
            <w:hideMark/>
          </w:tcPr>
          <w:p w14:paraId="04A40D61"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0.09522</w:t>
            </w:r>
          </w:p>
        </w:tc>
        <w:tc>
          <w:tcPr>
            <w:tcW w:w="3462" w:type="dxa"/>
            <w:tcBorders>
              <w:top w:val="nil"/>
              <w:left w:val="nil"/>
              <w:bottom w:val="nil"/>
              <w:right w:val="nil"/>
            </w:tcBorders>
            <w:shd w:val="clear" w:color="auto" w:fill="auto"/>
            <w:noWrap/>
            <w:vAlign w:val="bottom"/>
            <w:hideMark/>
          </w:tcPr>
          <w:p w14:paraId="24A1F857"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Pooled Variance</w:t>
            </w:r>
          </w:p>
        </w:tc>
        <w:tc>
          <w:tcPr>
            <w:tcW w:w="1026" w:type="dxa"/>
            <w:tcBorders>
              <w:top w:val="nil"/>
              <w:left w:val="nil"/>
              <w:bottom w:val="nil"/>
              <w:right w:val="nil"/>
            </w:tcBorders>
            <w:shd w:val="clear" w:color="auto" w:fill="auto"/>
            <w:noWrap/>
            <w:vAlign w:val="bottom"/>
            <w:hideMark/>
          </w:tcPr>
          <w:p w14:paraId="74C0DA9F"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0.73603</w:t>
            </w:r>
          </w:p>
        </w:tc>
      </w:tr>
      <w:tr w:rsidR="00692981" w:rsidRPr="007F2F21" w14:paraId="43B172BA" w14:textId="77777777" w:rsidTr="0010426C">
        <w:trPr>
          <w:trHeight w:val="300"/>
          <w:jc w:val="center"/>
        </w:trPr>
        <w:tc>
          <w:tcPr>
            <w:tcW w:w="2390" w:type="dxa"/>
            <w:tcBorders>
              <w:top w:val="nil"/>
              <w:left w:val="nil"/>
              <w:bottom w:val="nil"/>
              <w:right w:val="nil"/>
            </w:tcBorders>
            <w:shd w:val="clear" w:color="000000" w:fill="BFBFBF"/>
            <w:noWrap/>
            <w:vAlign w:val="bottom"/>
            <w:hideMark/>
          </w:tcPr>
          <w:p w14:paraId="2291F746" w14:textId="77777777" w:rsidR="00692981" w:rsidRPr="007F2F21" w:rsidRDefault="00692981"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c>
          <w:tcPr>
            <w:tcW w:w="1402" w:type="dxa"/>
            <w:tcBorders>
              <w:top w:val="nil"/>
              <w:left w:val="nil"/>
              <w:bottom w:val="nil"/>
              <w:right w:val="nil"/>
            </w:tcBorders>
            <w:shd w:val="clear" w:color="000000" w:fill="BFBFBF"/>
            <w:noWrap/>
            <w:vAlign w:val="bottom"/>
            <w:hideMark/>
          </w:tcPr>
          <w:p w14:paraId="54C7FC04" w14:textId="77777777" w:rsidR="00692981" w:rsidRPr="007F2F21" w:rsidRDefault="00692981"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c>
          <w:tcPr>
            <w:tcW w:w="3462" w:type="dxa"/>
            <w:tcBorders>
              <w:top w:val="nil"/>
              <w:left w:val="nil"/>
              <w:bottom w:val="nil"/>
              <w:right w:val="nil"/>
            </w:tcBorders>
            <w:shd w:val="clear" w:color="000000" w:fill="BFBFBF"/>
            <w:noWrap/>
            <w:vAlign w:val="bottom"/>
            <w:hideMark/>
          </w:tcPr>
          <w:p w14:paraId="171BF927" w14:textId="77777777" w:rsidR="00692981" w:rsidRPr="007F2F21" w:rsidRDefault="00692981"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c>
          <w:tcPr>
            <w:tcW w:w="1026" w:type="dxa"/>
            <w:tcBorders>
              <w:top w:val="nil"/>
              <w:left w:val="nil"/>
              <w:bottom w:val="nil"/>
              <w:right w:val="nil"/>
            </w:tcBorders>
            <w:shd w:val="clear" w:color="000000" w:fill="BFBFBF"/>
            <w:noWrap/>
            <w:vAlign w:val="bottom"/>
            <w:hideMark/>
          </w:tcPr>
          <w:p w14:paraId="2731FC86" w14:textId="77777777" w:rsidR="00692981" w:rsidRPr="007F2F21" w:rsidRDefault="00692981"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r>
      <w:tr w:rsidR="00692981" w:rsidRPr="007F2F21" w14:paraId="3941EBAC" w14:textId="77777777" w:rsidTr="0010426C">
        <w:trPr>
          <w:trHeight w:val="300"/>
          <w:jc w:val="center"/>
        </w:trPr>
        <w:tc>
          <w:tcPr>
            <w:tcW w:w="8280" w:type="dxa"/>
            <w:gridSpan w:val="4"/>
            <w:tcBorders>
              <w:top w:val="nil"/>
              <w:left w:val="nil"/>
              <w:bottom w:val="single" w:sz="4" w:space="0" w:color="000000"/>
              <w:right w:val="nil"/>
            </w:tcBorders>
            <w:shd w:val="clear" w:color="000000" w:fill="FFFFFF"/>
            <w:noWrap/>
            <w:vAlign w:val="bottom"/>
            <w:hideMark/>
          </w:tcPr>
          <w:p w14:paraId="098B1F71" w14:textId="77777777" w:rsidR="00692981" w:rsidRPr="007F2F21" w:rsidRDefault="00692981"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Two-tailed distribution</w:t>
            </w:r>
          </w:p>
        </w:tc>
      </w:tr>
      <w:tr w:rsidR="00692981" w:rsidRPr="007F2F21" w14:paraId="3D700551" w14:textId="77777777" w:rsidTr="0010426C">
        <w:trPr>
          <w:trHeight w:val="320"/>
          <w:jc w:val="center"/>
        </w:trPr>
        <w:tc>
          <w:tcPr>
            <w:tcW w:w="2390" w:type="dxa"/>
            <w:tcBorders>
              <w:top w:val="nil"/>
              <w:left w:val="nil"/>
              <w:bottom w:val="single" w:sz="8" w:space="0" w:color="auto"/>
              <w:right w:val="nil"/>
            </w:tcBorders>
            <w:shd w:val="clear" w:color="000000" w:fill="BFBFBF"/>
            <w:noWrap/>
            <w:vAlign w:val="bottom"/>
            <w:hideMark/>
          </w:tcPr>
          <w:p w14:paraId="30FAF31D" w14:textId="77777777" w:rsidR="00692981" w:rsidRPr="007F2F21" w:rsidRDefault="00692981" w:rsidP="006D0788">
            <w:pPr>
              <w:rPr>
                <w:rFonts w:ascii="Arial" w:eastAsia="Times New Roman" w:hAnsi="Arial" w:cs="Arial"/>
                <w:i/>
                <w:iCs/>
                <w:color w:val="000000"/>
                <w:sz w:val="20"/>
                <w:szCs w:val="20"/>
              </w:rPr>
            </w:pPr>
            <w:proofErr w:type="gramStart"/>
            <w:r w:rsidRPr="007F2F21">
              <w:rPr>
                <w:rFonts w:ascii="Arial" w:eastAsia="Times New Roman" w:hAnsi="Arial" w:cs="Arial"/>
                <w:i/>
                <w:iCs/>
                <w:color w:val="000000"/>
                <w:sz w:val="20"/>
                <w:szCs w:val="20"/>
              </w:rPr>
              <w:t>p</w:t>
            </w:r>
            <w:proofErr w:type="gramEnd"/>
            <w:r w:rsidRPr="007F2F21">
              <w:rPr>
                <w:rFonts w:ascii="Arial" w:eastAsia="Times New Roman" w:hAnsi="Arial" w:cs="Arial"/>
                <w:i/>
                <w:iCs/>
                <w:color w:val="000000"/>
                <w:sz w:val="20"/>
                <w:szCs w:val="20"/>
              </w:rPr>
              <w:t>-level</w:t>
            </w:r>
          </w:p>
        </w:tc>
        <w:tc>
          <w:tcPr>
            <w:tcW w:w="1402" w:type="dxa"/>
            <w:tcBorders>
              <w:top w:val="nil"/>
              <w:left w:val="nil"/>
              <w:bottom w:val="single" w:sz="8" w:space="0" w:color="auto"/>
              <w:right w:val="nil"/>
            </w:tcBorders>
            <w:shd w:val="clear" w:color="000000" w:fill="BFBFBF"/>
            <w:noWrap/>
            <w:vAlign w:val="bottom"/>
            <w:hideMark/>
          </w:tcPr>
          <w:p w14:paraId="264D59E8"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0.92427</w:t>
            </w:r>
          </w:p>
        </w:tc>
        <w:tc>
          <w:tcPr>
            <w:tcW w:w="3462" w:type="dxa"/>
            <w:tcBorders>
              <w:top w:val="nil"/>
              <w:left w:val="nil"/>
              <w:bottom w:val="single" w:sz="8" w:space="0" w:color="auto"/>
              <w:right w:val="nil"/>
            </w:tcBorders>
            <w:shd w:val="clear" w:color="000000" w:fill="BFBFBF"/>
            <w:noWrap/>
            <w:vAlign w:val="bottom"/>
            <w:hideMark/>
          </w:tcPr>
          <w:p w14:paraId="007EDFDE" w14:textId="77777777" w:rsidR="00692981" w:rsidRPr="007F2F21" w:rsidRDefault="00692981" w:rsidP="006D0788">
            <w:pPr>
              <w:rPr>
                <w:rFonts w:ascii="Arial" w:eastAsia="Times New Roman" w:hAnsi="Arial" w:cs="Arial"/>
                <w:i/>
                <w:iCs/>
                <w:color w:val="000000"/>
                <w:sz w:val="20"/>
                <w:szCs w:val="20"/>
              </w:rPr>
            </w:pPr>
            <w:proofErr w:type="gramStart"/>
            <w:r w:rsidRPr="007F2F21">
              <w:rPr>
                <w:rFonts w:ascii="Arial" w:eastAsia="Times New Roman" w:hAnsi="Arial" w:cs="Arial"/>
                <w:i/>
                <w:iCs/>
                <w:color w:val="000000"/>
                <w:sz w:val="20"/>
                <w:szCs w:val="20"/>
              </w:rPr>
              <w:t>t</w:t>
            </w:r>
            <w:proofErr w:type="gramEnd"/>
            <w:r w:rsidRPr="007F2F21">
              <w:rPr>
                <w:rFonts w:ascii="Arial" w:eastAsia="Times New Roman" w:hAnsi="Arial" w:cs="Arial"/>
                <w:i/>
                <w:iCs/>
                <w:color w:val="000000"/>
                <w:sz w:val="20"/>
                <w:szCs w:val="20"/>
              </w:rPr>
              <w:t xml:space="preserve"> Critical Value (5%)</w:t>
            </w:r>
          </w:p>
        </w:tc>
        <w:tc>
          <w:tcPr>
            <w:tcW w:w="1026" w:type="dxa"/>
            <w:tcBorders>
              <w:top w:val="nil"/>
              <w:left w:val="nil"/>
              <w:bottom w:val="single" w:sz="8" w:space="0" w:color="auto"/>
              <w:right w:val="nil"/>
            </w:tcBorders>
            <w:shd w:val="clear" w:color="000000" w:fill="BFBFBF"/>
            <w:noWrap/>
            <w:vAlign w:val="bottom"/>
            <w:hideMark/>
          </w:tcPr>
          <w:p w14:paraId="1E5EFF2C" w14:textId="77777777" w:rsidR="00692981" w:rsidRPr="007F2F21" w:rsidRDefault="00692981"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1.97612</w:t>
            </w:r>
          </w:p>
        </w:tc>
      </w:tr>
    </w:tbl>
    <w:p w14:paraId="7851AC37" w14:textId="77777777" w:rsidR="007F0064" w:rsidRDefault="007F0064" w:rsidP="00AF1AF9">
      <w:pPr>
        <w:spacing w:line="480" w:lineRule="auto"/>
        <w:rPr>
          <w:rFonts w:cs="Times New Roman"/>
          <w:b/>
        </w:rPr>
      </w:pPr>
    </w:p>
    <w:p w14:paraId="0153F8DC" w14:textId="77777777" w:rsidR="00AF1AF9" w:rsidRDefault="003D0A31" w:rsidP="00AF1AF9">
      <w:pPr>
        <w:spacing w:line="480" w:lineRule="auto"/>
        <w:rPr>
          <w:rFonts w:cs="Times New Roman"/>
          <w:b/>
        </w:rPr>
      </w:pPr>
      <w:r>
        <w:rPr>
          <w:rFonts w:cs="Times New Roman"/>
          <w:b/>
        </w:rPr>
        <w:t>The Use of Green Labels Does Not Influence Millennials to Prefer Eco-Friendly Products</w:t>
      </w:r>
    </w:p>
    <w:p w14:paraId="50F5EA6E" w14:textId="77777777" w:rsidR="00AF1AF9" w:rsidRDefault="00AF1AF9" w:rsidP="00AF1AF9">
      <w:pPr>
        <w:spacing w:line="480" w:lineRule="auto"/>
        <w:ind w:firstLine="720"/>
      </w:pPr>
      <w:r>
        <w:t>We ran another t-test testing our second hypothesis, to determine if the presence of labeling, specifically environmental certifications and eco-labeling, influenced participants to choose the environmentally friendly option over similar alternatives. Our findings revealed that preference for eco-friendly products was not increased, nor even significantly affected, by the presence of eco-labeling.</w:t>
      </w:r>
    </w:p>
    <w:p w14:paraId="052F5059" w14:textId="77777777" w:rsidR="00AF1AF9" w:rsidRDefault="00AF1AF9" w:rsidP="00AF1AF9"/>
    <w:tbl>
      <w:tblPr>
        <w:tblW w:w="8280" w:type="dxa"/>
        <w:jc w:val="center"/>
        <w:tblInd w:w="93" w:type="dxa"/>
        <w:tblLook w:val="04A0" w:firstRow="1" w:lastRow="0" w:firstColumn="1" w:lastColumn="0" w:noHBand="0" w:noVBand="1"/>
      </w:tblPr>
      <w:tblGrid>
        <w:gridCol w:w="2390"/>
        <w:gridCol w:w="1402"/>
        <w:gridCol w:w="3462"/>
        <w:gridCol w:w="1026"/>
      </w:tblGrid>
      <w:tr w:rsidR="00AF1AF9" w:rsidRPr="007F2F21" w14:paraId="02663DC7" w14:textId="77777777" w:rsidTr="000F75CB">
        <w:trPr>
          <w:trHeight w:val="320"/>
          <w:jc w:val="center"/>
        </w:trPr>
        <w:tc>
          <w:tcPr>
            <w:tcW w:w="8280" w:type="dxa"/>
            <w:gridSpan w:val="4"/>
            <w:tcBorders>
              <w:top w:val="single" w:sz="8" w:space="0" w:color="auto"/>
              <w:left w:val="single" w:sz="8" w:space="0" w:color="auto"/>
              <w:bottom w:val="single" w:sz="8" w:space="0" w:color="auto"/>
              <w:right w:val="single" w:sz="8" w:space="0" w:color="000000"/>
            </w:tcBorders>
            <w:shd w:val="clear" w:color="FFFFFF" w:fill="FFFFFF"/>
            <w:noWrap/>
            <w:vAlign w:val="bottom"/>
            <w:hideMark/>
          </w:tcPr>
          <w:p w14:paraId="032A21FB" w14:textId="77777777" w:rsidR="00AF1AF9" w:rsidRPr="007F2F21" w:rsidRDefault="00AF1AF9" w:rsidP="006D0788">
            <w:pPr>
              <w:jc w:val="center"/>
              <w:rPr>
                <w:rFonts w:ascii="Arial" w:eastAsia="Times New Roman" w:hAnsi="Arial" w:cs="Arial"/>
                <w:b/>
                <w:bCs/>
                <w:color w:val="000000"/>
                <w:sz w:val="20"/>
                <w:szCs w:val="20"/>
              </w:rPr>
            </w:pPr>
            <w:r w:rsidRPr="007F2F21">
              <w:rPr>
                <w:rFonts w:ascii="Arial" w:eastAsia="Times New Roman" w:hAnsi="Arial" w:cs="Arial"/>
                <w:b/>
                <w:bCs/>
                <w:color w:val="000000"/>
                <w:sz w:val="20"/>
                <w:szCs w:val="20"/>
              </w:rPr>
              <w:t xml:space="preserve">Comparing Means </w:t>
            </w:r>
            <w:proofErr w:type="gramStart"/>
            <w:r w:rsidRPr="007F2F21">
              <w:rPr>
                <w:rFonts w:ascii="Arial" w:eastAsia="Times New Roman" w:hAnsi="Arial" w:cs="Arial"/>
                <w:b/>
                <w:bCs/>
                <w:color w:val="000000"/>
                <w:sz w:val="20"/>
                <w:szCs w:val="20"/>
              </w:rPr>
              <w:t>[ t</w:t>
            </w:r>
            <w:proofErr w:type="gramEnd"/>
            <w:r w:rsidRPr="007F2F21">
              <w:rPr>
                <w:rFonts w:ascii="Arial" w:eastAsia="Times New Roman" w:hAnsi="Arial" w:cs="Arial"/>
                <w:b/>
                <w:bCs/>
                <w:color w:val="000000"/>
                <w:sz w:val="20"/>
                <w:szCs w:val="20"/>
              </w:rPr>
              <w:t>-test assuming equal variances ]</w:t>
            </w:r>
          </w:p>
        </w:tc>
      </w:tr>
      <w:tr w:rsidR="00AF1AF9" w:rsidRPr="007F2F21" w14:paraId="2B44B1BF" w14:textId="77777777" w:rsidTr="000F75CB">
        <w:trPr>
          <w:trHeight w:val="320"/>
          <w:jc w:val="center"/>
        </w:trPr>
        <w:tc>
          <w:tcPr>
            <w:tcW w:w="8280" w:type="dxa"/>
            <w:gridSpan w:val="4"/>
            <w:tcBorders>
              <w:top w:val="nil"/>
              <w:left w:val="nil"/>
              <w:bottom w:val="single" w:sz="8" w:space="0" w:color="000000"/>
              <w:right w:val="nil"/>
            </w:tcBorders>
            <w:shd w:val="clear" w:color="000000" w:fill="BFBFBF"/>
            <w:noWrap/>
            <w:vAlign w:val="bottom"/>
            <w:hideMark/>
          </w:tcPr>
          <w:p w14:paraId="275CB97D"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Descriptive Statistics</w:t>
            </w:r>
          </w:p>
        </w:tc>
      </w:tr>
      <w:tr w:rsidR="00AF1AF9" w:rsidRPr="007F2F21" w14:paraId="47AE2F6F" w14:textId="77777777" w:rsidTr="000F75CB">
        <w:trPr>
          <w:trHeight w:val="300"/>
          <w:jc w:val="center"/>
        </w:trPr>
        <w:tc>
          <w:tcPr>
            <w:tcW w:w="2390" w:type="dxa"/>
            <w:tcBorders>
              <w:top w:val="nil"/>
              <w:left w:val="nil"/>
              <w:bottom w:val="single" w:sz="4" w:space="0" w:color="000000"/>
              <w:right w:val="nil"/>
            </w:tcBorders>
            <w:shd w:val="clear" w:color="auto" w:fill="auto"/>
            <w:noWrap/>
            <w:vAlign w:val="bottom"/>
            <w:hideMark/>
          </w:tcPr>
          <w:p w14:paraId="0563A736" w14:textId="77777777" w:rsidR="00AF1AF9" w:rsidRPr="007F2F21" w:rsidRDefault="00AF1AF9"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VAR</w:t>
            </w:r>
          </w:p>
        </w:tc>
        <w:tc>
          <w:tcPr>
            <w:tcW w:w="1402" w:type="dxa"/>
            <w:tcBorders>
              <w:top w:val="nil"/>
              <w:left w:val="nil"/>
              <w:bottom w:val="single" w:sz="4" w:space="0" w:color="000000"/>
              <w:right w:val="nil"/>
            </w:tcBorders>
            <w:shd w:val="clear" w:color="auto" w:fill="auto"/>
            <w:noWrap/>
            <w:vAlign w:val="bottom"/>
            <w:hideMark/>
          </w:tcPr>
          <w:p w14:paraId="5B126648" w14:textId="77777777" w:rsidR="00AF1AF9" w:rsidRPr="007F2F21" w:rsidRDefault="00AF1AF9"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Sample size</w:t>
            </w:r>
          </w:p>
        </w:tc>
        <w:tc>
          <w:tcPr>
            <w:tcW w:w="3462" w:type="dxa"/>
            <w:tcBorders>
              <w:top w:val="nil"/>
              <w:left w:val="nil"/>
              <w:bottom w:val="single" w:sz="4" w:space="0" w:color="000000"/>
              <w:right w:val="nil"/>
            </w:tcBorders>
            <w:shd w:val="clear" w:color="auto" w:fill="auto"/>
            <w:noWrap/>
            <w:vAlign w:val="bottom"/>
            <w:hideMark/>
          </w:tcPr>
          <w:p w14:paraId="6BEAC3AD" w14:textId="77777777" w:rsidR="00AF1AF9" w:rsidRPr="007F2F21" w:rsidRDefault="00AF1AF9"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Mean</w:t>
            </w:r>
          </w:p>
        </w:tc>
        <w:tc>
          <w:tcPr>
            <w:tcW w:w="1026" w:type="dxa"/>
            <w:tcBorders>
              <w:top w:val="nil"/>
              <w:left w:val="nil"/>
              <w:bottom w:val="single" w:sz="4" w:space="0" w:color="000000"/>
              <w:right w:val="nil"/>
            </w:tcBorders>
            <w:shd w:val="clear" w:color="auto" w:fill="auto"/>
            <w:noWrap/>
            <w:vAlign w:val="bottom"/>
            <w:hideMark/>
          </w:tcPr>
          <w:p w14:paraId="2861B6CA" w14:textId="77777777" w:rsidR="00AF1AF9" w:rsidRPr="007F2F21" w:rsidRDefault="00AF1AF9" w:rsidP="006D0788">
            <w:pPr>
              <w:jc w:val="cente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Variance</w:t>
            </w:r>
          </w:p>
        </w:tc>
      </w:tr>
      <w:tr w:rsidR="00AF1AF9" w:rsidRPr="007F2F21" w14:paraId="3D064F29" w14:textId="77777777" w:rsidTr="000F75CB">
        <w:trPr>
          <w:trHeight w:val="300"/>
          <w:jc w:val="center"/>
        </w:trPr>
        <w:tc>
          <w:tcPr>
            <w:tcW w:w="2390" w:type="dxa"/>
            <w:tcBorders>
              <w:top w:val="nil"/>
              <w:left w:val="nil"/>
              <w:bottom w:val="nil"/>
              <w:right w:val="nil"/>
            </w:tcBorders>
            <w:shd w:val="clear" w:color="000000" w:fill="BFBFBF"/>
            <w:noWrap/>
            <w:vAlign w:val="bottom"/>
            <w:hideMark/>
          </w:tcPr>
          <w:p w14:paraId="005E9D2E"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 </w:t>
            </w:r>
          </w:p>
        </w:tc>
        <w:tc>
          <w:tcPr>
            <w:tcW w:w="1402" w:type="dxa"/>
            <w:tcBorders>
              <w:top w:val="nil"/>
              <w:left w:val="nil"/>
              <w:bottom w:val="nil"/>
              <w:right w:val="nil"/>
            </w:tcBorders>
            <w:shd w:val="clear" w:color="000000" w:fill="BFBFBF"/>
            <w:noWrap/>
            <w:vAlign w:val="bottom"/>
            <w:hideMark/>
          </w:tcPr>
          <w:p w14:paraId="48C097BF"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75</w:t>
            </w:r>
          </w:p>
        </w:tc>
        <w:tc>
          <w:tcPr>
            <w:tcW w:w="3462" w:type="dxa"/>
            <w:tcBorders>
              <w:top w:val="nil"/>
              <w:left w:val="nil"/>
              <w:bottom w:val="nil"/>
              <w:right w:val="nil"/>
            </w:tcBorders>
            <w:shd w:val="clear" w:color="000000" w:fill="BFBFBF"/>
            <w:noWrap/>
            <w:vAlign w:val="bottom"/>
            <w:hideMark/>
          </w:tcPr>
          <w:p w14:paraId="1F8A5068"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2.01333</w:t>
            </w:r>
          </w:p>
        </w:tc>
        <w:tc>
          <w:tcPr>
            <w:tcW w:w="1026" w:type="dxa"/>
            <w:tcBorders>
              <w:top w:val="nil"/>
              <w:left w:val="nil"/>
              <w:bottom w:val="nil"/>
              <w:right w:val="nil"/>
            </w:tcBorders>
            <w:shd w:val="clear" w:color="000000" w:fill="BFBFBF"/>
            <w:noWrap/>
            <w:vAlign w:val="bottom"/>
            <w:hideMark/>
          </w:tcPr>
          <w:p w14:paraId="183B7BBA"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0.71604</w:t>
            </w:r>
          </w:p>
        </w:tc>
      </w:tr>
      <w:tr w:rsidR="00AF1AF9" w:rsidRPr="007F2F21" w14:paraId="62B7A6BD" w14:textId="77777777" w:rsidTr="000F75CB">
        <w:trPr>
          <w:trHeight w:val="320"/>
          <w:jc w:val="center"/>
        </w:trPr>
        <w:tc>
          <w:tcPr>
            <w:tcW w:w="2390" w:type="dxa"/>
            <w:tcBorders>
              <w:top w:val="nil"/>
              <w:left w:val="nil"/>
              <w:bottom w:val="single" w:sz="8" w:space="0" w:color="auto"/>
              <w:right w:val="nil"/>
            </w:tcBorders>
            <w:shd w:val="clear" w:color="auto" w:fill="auto"/>
            <w:noWrap/>
            <w:vAlign w:val="bottom"/>
            <w:hideMark/>
          </w:tcPr>
          <w:p w14:paraId="3617A166"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 </w:t>
            </w:r>
          </w:p>
        </w:tc>
        <w:tc>
          <w:tcPr>
            <w:tcW w:w="1402" w:type="dxa"/>
            <w:tcBorders>
              <w:top w:val="nil"/>
              <w:left w:val="nil"/>
              <w:bottom w:val="single" w:sz="8" w:space="0" w:color="auto"/>
              <w:right w:val="nil"/>
            </w:tcBorders>
            <w:shd w:val="clear" w:color="auto" w:fill="auto"/>
            <w:noWrap/>
            <w:vAlign w:val="bottom"/>
            <w:hideMark/>
          </w:tcPr>
          <w:p w14:paraId="4397A729"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75</w:t>
            </w:r>
          </w:p>
        </w:tc>
        <w:tc>
          <w:tcPr>
            <w:tcW w:w="3462" w:type="dxa"/>
            <w:tcBorders>
              <w:top w:val="nil"/>
              <w:left w:val="nil"/>
              <w:bottom w:val="single" w:sz="8" w:space="0" w:color="auto"/>
              <w:right w:val="nil"/>
            </w:tcBorders>
            <w:shd w:val="clear" w:color="auto" w:fill="auto"/>
            <w:noWrap/>
            <w:vAlign w:val="bottom"/>
            <w:hideMark/>
          </w:tcPr>
          <w:p w14:paraId="2BF4B952"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2.02667</w:t>
            </w:r>
          </w:p>
        </w:tc>
        <w:tc>
          <w:tcPr>
            <w:tcW w:w="1026" w:type="dxa"/>
            <w:tcBorders>
              <w:top w:val="nil"/>
              <w:left w:val="nil"/>
              <w:bottom w:val="single" w:sz="8" w:space="0" w:color="auto"/>
              <w:right w:val="nil"/>
            </w:tcBorders>
            <w:shd w:val="clear" w:color="auto" w:fill="auto"/>
            <w:noWrap/>
            <w:vAlign w:val="bottom"/>
            <w:hideMark/>
          </w:tcPr>
          <w:p w14:paraId="66764811"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0.75603</w:t>
            </w:r>
          </w:p>
        </w:tc>
      </w:tr>
      <w:tr w:rsidR="00AF1AF9" w:rsidRPr="007F2F21" w14:paraId="6C1F9DD5" w14:textId="77777777" w:rsidTr="000F75CB">
        <w:trPr>
          <w:trHeight w:val="300"/>
          <w:jc w:val="center"/>
        </w:trPr>
        <w:tc>
          <w:tcPr>
            <w:tcW w:w="2390" w:type="dxa"/>
            <w:tcBorders>
              <w:top w:val="nil"/>
              <w:left w:val="nil"/>
              <w:bottom w:val="nil"/>
              <w:right w:val="nil"/>
            </w:tcBorders>
            <w:shd w:val="clear" w:color="000000" w:fill="BFBFBF"/>
            <w:noWrap/>
            <w:vAlign w:val="bottom"/>
            <w:hideMark/>
          </w:tcPr>
          <w:p w14:paraId="3A849673"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Degrees Of Freedom</w:t>
            </w:r>
          </w:p>
        </w:tc>
        <w:tc>
          <w:tcPr>
            <w:tcW w:w="1402" w:type="dxa"/>
            <w:tcBorders>
              <w:top w:val="nil"/>
              <w:left w:val="nil"/>
              <w:bottom w:val="nil"/>
              <w:right w:val="nil"/>
            </w:tcBorders>
            <w:shd w:val="clear" w:color="000000" w:fill="BFBFBF"/>
            <w:noWrap/>
            <w:vAlign w:val="bottom"/>
            <w:hideMark/>
          </w:tcPr>
          <w:p w14:paraId="0B8C81F0"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148</w:t>
            </w:r>
          </w:p>
        </w:tc>
        <w:tc>
          <w:tcPr>
            <w:tcW w:w="3462" w:type="dxa"/>
            <w:tcBorders>
              <w:top w:val="nil"/>
              <w:left w:val="nil"/>
              <w:bottom w:val="nil"/>
              <w:right w:val="nil"/>
            </w:tcBorders>
            <w:shd w:val="clear" w:color="000000" w:fill="BFBFBF"/>
            <w:noWrap/>
            <w:vAlign w:val="bottom"/>
            <w:hideMark/>
          </w:tcPr>
          <w:p w14:paraId="28618498"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Hypothesized Mean Difference</w:t>
            </w:r>
          </w:p>
        </w:tc>
        <w:tc>
          <w:tcPr>
            <w:tcW w:w="1026" w:type="dxa"/>
            <w:tcBorders>
              <w:top w:val="nil"/>
              <w:left w:val="nil"/>
              <w:bottom w:val="nil"/>
              <w:right w:val="nil"/>
            </w:tcBorders>
            <w:shd w:val="clear" w:color="000000" w:fill="BFBFBF"/>
            <w:noWrap/>
            <w:vAlign w:val="bottom"/>
            <w:hideMark/>
          </w:tcPr>
          <w:p w14:paraId="40287BBB"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0.E+0</w:t>
            </w:r>
          </w:p>
        </w:tc>
      </w:tr>
      <w:tr w:rsidR="00AF1AF9" w:rsidRPr="007F2F21" w14:paraId="4F977058" w14:textId="77777777" w:rsidTr="000F75CB">
        <w:trPr>
          <w:trHeight w:val="300"/>
          <w:jc w:val="center"/>
        </w:trPr>
        <w:tc>
          <w:tcPr>
            <w:tcW w:w="2390" w:type="dxa"/>
            <w:tcBorders>
              <w:top w:val="nil"/>
              <w:left w:val="nil"/>
              <w:bottom w:val="nil"/>
              <w:right w:val="nil"/>
            </w:tcBorders>
            <w:shd w:val="clear" w:color="auto" w:fill="auto"/>
            <w:noWrap/>
            <w:vAlign w:val="bottom"/>
            <w:hideMark/>
          </w:tcPr>
          <w:p w14:paraId="13F6D99C"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Test Statistics</w:t>
            </w:r>
          </w:p>
        </w:tc>
        <w:tc>
          <w:tcPr>
            <w:tcW w:w="1402" w:type="dxa"/>
            <w:tcBorders>
              <w:top w:val="nil"/>
              <w:left w:val="nil"/>
              <w:bottom w:val="nil"/>
              <w:right w:val="nil"/>
            </w:tcBorders>
            <w:shd w:val="clear" w:color="auto" w:fill="auto"/>
            <w:noWrap/>
            <w:vAlign w:val="bottom"/>
            <w:hideMark/>
          </w:tcPr>
          <w:p w14:paraId="0006F870"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0.09522</w:t>
            </w:r>
          </w:p>
        </w:tc>
        <w:tc>
          <w:tcPr>
            <w:tcW w:w="3462" w:type="dxa"/>
            <w:tcBorders>
              <w:top w:val="nil"/>
              <w:left w:val="nil"/>
              <w:bottom w:val="nil"/>
              <w:right w:val="nil"/>
            </w:tcBorders>
            <w:shd w:val="clear" w:color="auto" w:fill="auto"/>
            <w:noWrap/>
            <w:vAlign w:val="bottom"/>
            <w:hideMark/>
          </w:tcPr>
          <w:p w14:paraId="26758E19"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Pooled Variance</w:t>
            </w:r>
          </w:p>
        </w:tc>
        <w:tc>
          <w:tcPr>
            <w:tcW w:w="1026" w:type="dxa"/>
            <w:tcBorders>
              <w:top w:val="nil"/>
              <w:left w:val="nil"/>
              <w:bottom w:val="nil"/>
              <w:right w:val="nil"/>
            </w:tcBorders>
            <w:shd w:val="clear" w:color="auto" w:fill="auto"/>
            <w:noWrap/>
            <w:vAlign w:val="bottom"/>
            <w:hideMark/>
          </w:tcPr>
          <w:p w14:paraId="06D90B69"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0.73603</w:t>
            </w:r>
          </w:p>
        </w:tc>
      </w:tr>
      <w:tr w:rsidR="00AF1AF9" w:rsidRPr="007F2F21" w14:paraId="520C250D" w14:textId="77777777" w:rsidTr="000F75CB">
        <w:trPr>
          <w:trHeight w:val="300"/>
          <w:jc w:val="center"/>
        </w:trPr>
        <w:tc>
          <w:tcPr>
            <w:tcW w:w="2390" w:type="dxa"/>
            <w:tcBorders>
              <w:top w:val="nil"/>
              <w:left w:val="nil"/>
              <w:bottom w:val="nil"/>
              <w:right w:val="nil"/>
            </w:tcBorders>
            <w:shd w:val="clear" w:color="000000" w:fill="BFBFBF"/>
            <w:noWrap/>
            <w:vAlign w:val="bottom"/>
            <w:hideMark/>
          </w:tcPr>
          <w:p w14:paraId="7FBDB875" w14:textId="77777777" w:rsidR="00AF1AF9" w:rsidRPr="007F2F21" w:rsidRDefault="00AF1AF9"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c>
          <w:tcPr>
            <w:tcW w:w="1402" w:type="dxa"/>
            <w:tcBorders>
              <w:top w:val="nil"/>
              <w:left w:val="nil"/>
              <w:bottom w:val="nil"/>
              <w:right w:val="nil"/>
            </w:tcBorders>
            <w:shd w:val="clear" w:color="000000" w:fill="BFBFBF"/>
            <w:noWrap/>
            <w:vAlign w:val="bottom"/>
            <w:hideMark/>
          </w:tcPr>
          <w:p w14:paraId="2C5A4E33" w14:textId="77777777" w:rsidR="00AF1AF9" w:rsidRPr="007F2F21" w:rsidRDefault="00AF1AF9"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c>
          <w:tcPr>
            <w:tcW w:w="3462" w:type="dxa"/>
            <w:tcBorders>
              <w:top w:val="nil"/>
              <w:left w:val="nil"/>
              <w:bottom w:val="nil"/>
              <w:right w:val="nil"/>
            </w:tcBorders>
            <w:shd w:val="clear" w:color="000000" w:fill="BFBFBF"/>
            <w:noWrap/>
            <w:vAlign w:val="bottom"/>
            <w:hideMark/>
          </w:tcPr>
          <w:p w14:paraId="1F76D15F" w14:textId="77777777" w:rsidR="00AF1AF9" w:rsidRPr="007F2F21" w:rsidRDefault="00AF1AF9"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c>
          <w:tcPr>
            <w:tcW w:w="1026" w:type="dxa"/>
            <w:tcBorders>
              <w:top w:val="nil"/>
              <w:left w:val="nil"/>
              <w:bottom w:val="nil"/>
              <w:right w:val="nil"/>
            </w:tcBorders>
            <w:shd w:val="clear" w:color="000000" w:fill="BFBFBF"/>
            <w:noWrap/>
            <w:vAlign w:val="bottom"/>
            <w:hideMark/>
          </w:tcPr>
          <w:p w14:paraId="2C4AF0FF" w14:textId="77777777" w:rsidR="00AF1AF9" w:rsidRPr="007F2F21" w:rsidRDefault="00AF1AF9" w:rsidP="006D0788">
            <w:pPr>
              <w:rPr>
                <w:rFonts w:ascii="Arial" w:eastAsia="Times New Roman" w:hAnsi="Arial" w:cs="Arial"/>
                <w:color w:val="000000"/>
                <w:sz w:val="20"/>
                <w:szCs w:val="20"/>
              </w:rPr>
            </w:pPr>
            <w:r w:rsidRPr="007F2F21">
              <w:rPr>
                <w:rFonts w:ascii="Arial" w:eastAsia="Times New Roman" w:hAnsi="Arial" w:cs="Arial"/>
                <w:color w:val="000000"/>
                <w:sz w:val="20"/>
                <w:szCs w:val="20"/>
              </w:rPr>
              <w:t> </w:t>
            </w:r>
          </w:p>
        </w:tc>
      </w:tr>
      <w:tr w:rsidR="00AF1AF9" w:rsidRPr="007F2F21" w14:paraId="2167DAAF" w14:textId="77777777" w:rsidTr="000F75CB">
        <w:trPr>
          <w:trHeight w:val="300"/>
          <w:jc w:val="center"/>
        </w:trPr>
        <w:tc>
          <w:tcPr>
            <w:tcW w:w="8280" w:type="dxa"/>
            <w:gridSpan w:val="4"/>
            <w:tcBorders>
              <w:top w:val="nil"/>
              <w:left w:val="nil"/>
              <w:bottom w:val="single" w:sz="4" w:space="0" w:color="000000"/>
              <w:right w:val="nil"/>
            </w:tcBorders>
            <w:shd w:val="clear" w:color="000000" w:fill="FFFFFF"/>
            <w:noWrap/>
            <w:vAlign w:val="bottom"/>
            <w:hideMark/>
          </w:tcPr>
          <w:p w14:paraId="36F64954" w14:textId="77777777" w:rsidR="00AF1AF9" w:rsidRPr="007F2F21" w:rsidRDefault="00AF1AF9" w:rsidP="006D0788">
            <w:pPr>
              <w:rPr>
                <w:rFonts w:ascii="Arial" w:eastAsia="Times New Roman" w:hAnsi="Arial" w:cs="Arial"/>
                <w:i/>
                <w:iCs/>
                <w:color w:val="000000"/>
                <w:sz w:val="20"/>
                <w:szCs w:val="20"/>
              </w:rPr>
            </w:pPr>
            <w:r w:rsidRPr="007F2F21">
              <w:rPr>
                <w:rFonts w:ascii="Arial" w:eastAsia="Times New Roman" w:hAnsi="Arial" w:cs="Arial"/>
                <w:i/>
                <w:iCs/>
                <w:color w:val="000000"/>
                <w:sz w:val="20"/>
                <w:szCs w:val="20"/>
              </w:rPr>
              <w:t>One-tailed distribution</w:t>
            </w:r>
          </w:p>
        </w:tc>
      </w:tr>
      <w:tr w:rsidR="00AF1AF9" w:rsidRPr="007F2F21" w14:paraId="536DE38F" w14:textId="77777777" w:rsidTr="000F75CB">
        <w:trPr>
          <w:trHeight w:val="320"/>
          <w:jc w:val="center"/>
        </w:trPr>
        <w:tc>
          <w:tcPr>
            <w:tcW w:w="2390" w:type="dxa"/>
            <w:tcBorders>
              <w:top w:val="nil"/>
              <w:left w:val="nil"/>
              <w:bottom w:val="single" w:sz="8" w:space="0" w:color="auto"/>
              <w:right w:val="nil"/>
            </w:tcBorders>
            <w:shd w:val="clear" w:color="000000" w:fill="BFBFBF"/>
            <w:noWrap/>
            <w:vAlign w:val="bottom"/>
            <w:hideMark/>
          </w:tcPr>
          <w:p w14:paraId="283D23C6" w14:textId="77777777" w:rsidR="00AF1AF9" w:rsidRPr="007F2F21" w:rsidRDefault="00AF1AF9" w:rsidP="006D0788">
            <w:pPr>
              <w:rPr>
                <w:rFonts w:ascii="Arial" w:eastAsia="Times New Roman" w:hAnsi="Arial" w:cs="Arial"/>
                <w:i/>
                <w:iCs/>
                <w:color w:val="000000"/>
                <w:sz w:val="20"/>
                <w:szCs w:val="20"/>
              </w:rPr>
            </w:pPr>
            <w:proofErr w:type="gramStart"/>
            <w:r w:rsidRPr="007F2F21">
              <w:rPr>
                <w:rFonts w:ascii="Arial" w:eastAsia="Times New Roman" w:hAnsi="Arial" w:cs="Arial"/>
                <w:i/>
                <w:iCs/>
                <w:color w:val="000000"/>
                <w:sz w:val="20"/>
                <w:szCs w:val="20"/>
              </w:rPr>
              <w:t>p</w:t>
            </w:r>
            <w:proofErr w:type="gramEnd"/>
            <w:r w:rsidRPr="007F2F21">
              <w:rPr>
                <w:rFonts w:ascii="Arial" w:eastAsia="Times New Roman" w:hAnsi="Arial" w:cs="Arial"/>
                <w:i/>
                <w:iCs/>
                <w:color w:val="000000"/>
                <w:sz w:val="20"/>
                <w:szCs w:val="20"/>
              </w:rPr>
              <w:t>-level</w:t>
            </w:r>
          </w:p>
        </w:tc>
        <w:tc>
          <w:tcPr>
            <w:tcW w:w="1402" w:type="dxa"/>
            <w:tcBorders>
              <w:top w:val="nil"/>
              <w:left w:val="nil"/>
              <w:bottom w:val="single" w:sz="8" w:space="0" w:color="auto"/>
              <w:right w:val="nil"/>
            </w:tcBorders>
            <w:shd w:val="clear" w:color="000000" w:fill="BFBFBF"/>
            <w:noWrap/>
            <w:vAlign w:val="bottom"/>
            <w:hideMark/>
          </w:tcPr>
          <w:p w14:paraId="4C921F3F"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0.46213</w:t>
            </w:r>
          </w:p>
        </w:tc>
        <w:tc>
          <w:tcPr>
            <w:tcW w:w="3462" w:type="dxa"/>
            <w:tcBorders>
              <w:top w:val="nil"/>
              <w:left w:val="nil"/>
              <w:bottom w:val="single" w:sz="8" w:space="0" w:color="auto"/>
              <w:right w:val="nil"/>
            </w:tcBorders>
            <w:shd w:val="clear" w:color="000000" w:fill="BFBFBF"/>
            <w:noWrap/>
            <w:vAlign w:val="bottom"/>
            <w:hideMark/>
          </w:tcPr>
          <w:p w14:paraId="1CC59632" w14:textId="77777777" w:rsidR="00AF1AF9" w:rsidRPr="007F2F21" w:rsidRDefault="00AF1AF9" w:rsidP="006D0788">
            <w:pPr>
              <w:rPr>
                <w:rFonts w:ascii="Arial" w:eastAsia="Times New Roman" w:hAnsi="Arial" w:cs="Arial"/>
                <w:i/>
                <w:iCs/>
                <w:color w:val="000000"/>
                <w:sz w:val="20"/>
                <w:szCs w:val="20"/>
              </w:rPr>
            </w:pPr>
            <w:proofErr w:type="gramStart"/>
            <w:r w:rsidRPr="007F2F21">
              <w:rPr>
                <w:rFonts w:ascii="Arial" w:eastAsia="Times New Roman" w:hAnsi="Arial" w:cs="Arial"/>
                <w:i/>
                <w:iCs/>
                <w:color w:val="000000"/>
                <w:sz w:val="20"/>
                <w:szCs w:val="20"/>
              </w:rPr>
              <w:t>t</w:t>
            </w:r>
            <w:proofErr w:type="gramEnd"/>
            <w:r w:rsidRPr="007F2F21">
              <w:rPr>
                <w:rFonts w:ascii="Arial" w:eastAsia="Times New Roman" w:hAnsi="Arial" w:cs="Arial"/>
                <w:i/>
                <w:iCs/>
                <w:color w:val="000000"/>
                <w:sz w:val="20"/>
                <w:szCs w:val="20"/>
              </w:rPr>
              <w:t xml:space="preserve"> Critical Value (5%)</w:t>
            </w:r>
          </w:p>
        </w:tc>
        <w:tc>
          <w:tcPr>
            <w:tcW w:w="1026" w:type="dxa"/>
            <w:tcBorders>
              <w:top w:val="nil"/>
              <w:left w:val="nil"/>
              <w:bottom w:val="single" w:sz="8" w:space="0" w:color="auto"/>
              <w:right w:val="nil"/>
            </w:tcBorders>
            <w:shd w:val="clear" w:color="000000" w:fill="BFBFBF"/>
            <w:noWrap/>
            <w:vAlign w:val="bottom"/>
            <w:hideMark/>
          </w:tcPr>
          <w:p w14:paraId="631FBBA0" w14:textId="77777777" w:rsidR="00AF1AF9" w:rsidRPr="007F2F21" w:rsidRDefault="00AF1AF9" w:rsidP="006D0788">
            <w:pPr>
              <w:jc w:val="right"/>
              <w:rPr>
                <w:rFonts w:ascii="Arial" w:eastAsia="Times New Roman" w:hAnsi="Arial" w:cs="Arial"/>
                <w:color w:val="000000"/>
                <w:sz w:val="20"/>
                <w:szCs w:val="20"/>
              </w:rPr>
            </w:pPr>
            <w:r w:rsidRPr="007F2F21">
              <w:rPr>
                <w:rFonts w:ascii="Arial" w:eastAsia="Times New Roman" w:hAnsi="Arial" w:cs="Arial"/>
                <w:color w:val="000000"/>
                <w:sz w:val="20"/>
                <w:szCs w:val="20"/>
              </w:rPr>
              <w:t>1.65521</w:t>
            </w:r>
          </w:p>
        </w:tc>
      </w:tr>
    </w:tbl>
    <w:p w14:paraId="39BFB725" w14:textId="77777777" w:rsidR="00AF1AF9" w:rsidRDefault="00AF1AF9" w:rsidP="00AF1AF9"/>
    <w:p w14:paraId="3B99DE2F" w14:textId="77777777" w:rsidR="004C1DD2" w:rsidRDefault="004C1DD2" w:rsidP="004C1DD2">
      <w:pPr>
        <w:spacing w:line="480" w:lineRule="auto"/>
        <w:ind w:firstLine="720"/>
        <w:rPr>
          <w:rFonts w:cs="Times New Roman"/>
        </w:rPr>
      </w:pPr>
      <w:r>
        <w:rPr>
          <w:rFonts w:cs="Times New Roman"/>
        </w:rPr>
        <w:t>Initial survey results indicated that overall, Millennials are willing to buy products designated as environmentally friendly over conventional alternatives at least some of the time. When asked about their likelihood to buy specifically “green” products, 7% of respondents said that they always buy green products, while 28% said they consistently buy green products from specific [product] categories. Self-identified environmentalists were even more likely to adhere to these trends, as 13.4% said they always bought green products and 40.9% said they consistently bought green products depending on the [category]. However, these findings were not supported by the results of our social experiment, which showed that not only does labeling not significantly affect purchasing behavior, but also that marketing strategies using environmental differentiation are not effective in influencing Millennials to choose the environmentally friendly option.</w:t>
      </w:r>
    </w:p>
    <w:p w14:paraId="18ED94F5" w14:textId="77777777" w:rsidR="004C1DD2" w:rsidRDefault="004C1DD2" w:rsidP="004C1DD2">
      <w:pPr>
        <w:spacing w:line="480" w:lineRule="auto"/>
        <w:rPr>
          <w:rFonts w:cs="Times New Roman"/>
        </w:rPr>
      </w:pPr>
      <w:r>
        <w:rPr>
          <w:rFonts w:cs="Times New Roman"/>
        </w:rPr>
        <w:tab/>
        <w:t xml:space="preserve">These findings evince a large gap between how Millennials’ self-identify their level of environmental commitment and their actual purchasing behaviors. This dichotomy speaks to the influence of external market factors such as brand loyalty and price that have a greater affect on consumer behavior within this generation. In addition, although environmental consciousness is considered socially desirable within </w:t>
      </w:r>
      <w:proofErr w:type="gramStart"/>
      <w:r>
        <w:rPr>
          <w:rFonts w:cs="Times New Roman"/>
        </w:rPr>
        <w:t>Millennial</w:t>
      </w:r>
      <w:proofErr w:type="gramEnd"/>
      <w:r>
        <w:rPr>
          <w:rFonts w:cs="Times New Roman"/>
        </w:rPr>
        <w:t xml:space="preserve"> culture, this aspect is trivialized by larger norms prioritizing comfort, convenience, and quality. As a result, environmentally conscious consumer behavior is most often used as a mechanism for social validation among Millennials, allowing them to prioritize other standards that they have been conditioned to value while maintaining their image as an increasingly eco-conscious consumer cohort.</w:t>
      </w:r>
    </w:p>
    <w:p w14:paraId="5C49F7B0" w14:textId="0D7EB517" w:rsidR="00295D0B" w:rsidRDefault="00295D0B">
      <w:pPr>
        <w:rPr>
          <w:rFonts w:cs="Times New Roman"/>
        </w:rPr>
      </w:pPr>
      <w:r>
        <w:rPr>
          <w:rFonts w:cs="Times New Roman"/>
        </w:rPr>
        <w:br w:type="page"/>
      </w:r>
    </w:p>
    <w:p w14:paraId="13FB67E0" w14:textId="431A1FFD" w:rsidR="009C120D" w:rsidRDefault="009C120D" w:rsidP="009C120D">
      <w:pPr>
        <w:rPr>
          <w:rFonts w:cs="Times New Roman"/>
          <w:b/>
        </w:rPr>
      </w:pPr>
      <w:r w:rsidRPr="00295D0B">
        <w:rPr>
          <w:rFonts w:cs="Times New Roman"/>
          <w:b/>
        </w:rPr>
        <w:t xml:space="preserve">Discussion </w:t>
      </w:r>
    </w:p>
    <w:p w14:paraId="1CAFFF6B" w14:textId="77777777" w:rsidR="00295D0B" w:rsidRPr="00295D0B" w:rsidRDefault="00295D0B" w:rsidP="009C120D">
      <w:pPr>
        <w:rPr>
          <w:rFonts w:cs="Times New Roman"/>
          <w:b/>
        </w:rPr>
      </w:pPr>
    </w:p>
    <w:p w14:paraId="2ECCAB35" w14:textId="77777777" w:rsidR="009C120D" w:rsidRPr="0094401B" w:rsidRDefault="009C120D" w:rsidP="00D07227">
      <w:pPr>
        <w:spacing w:line="480" w:lineRule="auto"/>
        <w:ind w:firstLine="720"/>
        <w:rPr>
          <w:rFonts w:cs="Times New Roman"/>
        </w:rPr>
      </w:pPr>
      <w:r w:rsidRPr="0094401B">
        <w:rPr>
          <w:rFonts w:cs="Times New Roman"/>
        </w:rPr>
        <w:t xml:space="preserve">Interpreting results with a high regard for uncertainty and complexity is overwhelmingly difficult. Data analysis has multiple facets and approaches, and depending on the angle of interpretation counter arguments showing other outcomes can be synthesized. We have chosen to take these complex phenomena with a straight and honest approach by objectively interpreting results and briefly outline the implications for corporations and policy decisions. </w:t>
      </w:r>
    </w:p>
    <w:p w14:paraId="7CD0D7E2" w14:textId="1534F006" w:rsidR="009C120D" w:rsidRDefault="009C120D" w:rsidP="00D07227">
      <w:pPr>
        <w:spacing w:line="480" w:lineRule="auto"/>
        <w:ind w:firstLine="720"/>
        <w:rPr>
          <w:rFonts w:cs="Times New Roman"/>
        </w:rPr>
      </w:pPr>
      <w:r w:rsidRPr="0094401B">
        <w:rPr>
          <w:rFonts w:cs="Times New Roman"/>
        </w:rPr>
        <w:t xml:space="preserve"> Currently, there exists an extensive amount of research regarding the purchasing behavior of the </w:t>
      </w:r>
      <w:proofErr w:type="gramStart"/>
      <w:r w:rsidRPr="0094401B">
        <w:rPr>
          <w:rFonts w:cs="Times New Roman"/>
        </w:rPr>
        <w:t>Millennial</w:t>
      </w:r>
      <w:proofErr w:type="gramEnd"/>
      <w:r w:rsidRPr="0094401B">
        <w:rPr>
          <w:rFonts w:cs="Times New Roman"/>
        </w:rPr>
        <w:t xml:space="preserve"> generation. This research, however; is an extremely complex </w:t>
      </w:r>
      <w:proofErr w:type="gramStart"/>
      <w:r w:rsidRPr="0094401B">
        <w:rPr>
          <w:rFonts w:cs="Times New Roman"/>
        </w:rPr>
        <w:t>phenomena</w:t>
      </w:r>
      <w:proofErr w:type="gramEnd"/>
      <w:r w:rsidRPr="0094401B">
        <w:rPr>
          <w:rFonts w:cs="Times New Roman"/>
        </w:rPr>
        <w:t xml:space="preserve">, </w:t>
      </w:r>
      <w:r>
        <w:rPr>
          <w:rFonts w:cs="Times New Roman"/>
        </w:rPr>
        <w:t xml:space="preserve">composed of inconsistent and fragmented findings causing it to be a highly debated topic. On one side of the argument are optimists that the </w:t>
      </w:r>
      <w:proofErr w:type="gramStart"/>
      <w:r>
        <w:rPr>
          <w:rFonts w:cs="Times New Roman"/>
        </w:rPr>
        <w:t>Millennial</w:t>
      </w:r>
      <w:proofErr w:type="gramEnd"/>
      <w:r>
        <w:rPr>
          <w:rFonts w:cs="Times New Roman"/>
        </w:rPr>
        <w:t xml:space="preserve"> generation is the greenest yet. They point to factors such as </w:t>
      </w:r>
      <w:r w:rsidR="00916607">
        <w:rPr>
          <w:rFonts w:cs="Times New Roman"/>
        </w:rPr>
        <w:t>Millennials’ increased levels of environmental education and awareness, as well as the social desirability to appear “green” that has become a cultural norm,</w:t>
      </w:r>
      <w:r>
        <w:rPr>
          <w:rFonts w:cs="Times New Roman"/>
        </w:rPr>
        <w:t xml:space="preserve"> to support this viewpoint. On the opposing side of the </w:t>
      </w:r>
      <w:r w:rsidR="00E72751">
        <w:rPr>
          <w:rFonts w:cs="Times New Roman"/>
        </w:rPr>
        <w:t>debate, the skeptics believe this</w:t>
      </w:r>
      <w:r>
        <w:rPr>
          <w:rFonts w:cs="Times New Roman"/>
        </w:rPr>
        <w:t xml:space="preserve"> generation is no </w:t>
      </w:r>
      <w:proofErr w:type="gramStart"/>
      <w:r>
        <w:rPr>
          <w:rFonts w:cs="Times New Roman"/>
        </w:rPr>
        <w:t>more green</w:t>
      </w:r>
      <w:proofErr w:type="gramEnd"/>
      <w:r>
        <w:rPr>
          <w:rFonts w:cs="Times New Roman"/>
        </w:rPr>
        <w:t xml:space="preserve"> than previous ones. This is apparent in </w:t>
      </w:r>
      <w:r w:rsidRPr="0094401B">
        <w:rPr>
          <w:rFonts w:cs="Times New Roman"/>
        </w:rPr>
        <w:t xml:space="preserve">the disjunction between </w:t>
      </w:r>
      <w:proofErr w:type="gramStart"/>
      <w:r w:rsidRPr="0094401B">
        <w:rPr>
          <w:rFonts w:cs="Times New Roman"/>
        </w:rPr>
        <w:t>Millennial</w:t>
      </w:r>
      <w:proofErr w:type="gramEnd"/>
      <w:r w:rsidRPr="0094401B">
        <w:rPr>
          <w:rFonts w:cs="Times New Roman"/>
        </w:rPr>
        <w:t xml:space="preserve"> consumers’ environmental perceptions and purchasi</w:t>
      </w:r>
      <w:r>
        <w:rPr>
          <w:rFonts w:cs="Times New Roman"/>
        </w:rPr>
        <w:t xml:space="preserve">ng </w:t>
      </w:r>
      <w:r w:rsidR="00E72751">
        <w:rPr>
          <w:rFonts w:cs="Times New Roman"/>
        </w:rPr>
        <w:t>behaviors</w:t>
      </w:r>
      <w:r>
        <w:rPr>
          <w:rFonts w:cs="Times New Roman"/>
        </w:rPr>
        <w:t xml:space="preserve">.  </w:t>
      </w:r>
      <w:r w:rsidRPr="0087657B">
        <w:rPr>
          <w:rFonts w:cs="Times New Roman"/>
        </w:rPr>
        <w:t>Our</w:t>
      </w:r>
      <w:r w:rsidRPr="0094401B">
        <w:rPr>
          <w:rFonts w:cs="Times New Roman"/>
        </w:rPr>
        <w:t xml:space="preserve"> study sought to</w:t>
      </w:r>
      <w:r>
        <w:rPr>
          <w:rFonts w:cs="Times New Roman"/>
        </w:rPr>
        <w:t xml:space="preserve"> gauge just how green the </w:t>
      </w:r>
      <w:proofErr w:type="gramStart"/>
      <w:r>
        <w:rPr>
          <w:rFonts w:cs="Times New Roman"/>
        </w:rPr>
        <w:t>Millennial</w:t>
      </w:r>
      <w:proofErr w:type="gramEnd"/>
      <w:r>
        <w:rPr>
          <w:rFonts w:cs="Times New Roman"/>
        </w:rPr>
        <w:t xml:space="preserve"> generation truly is by employing a host of different methodologies. Our results found Millennials to be a generation in which the majority care about the environment and who will support green products, but struggle deeply in their ability to identify and interpret eco-labels. </w:t>
      </w:r>
    </w:p>
    <w:p w14:paraId="72F6EBD0" w14:textId="77777777" w:rsidR="009C120D" w:rsidRPr="0094401B" w:rsidRDefault="009C120D" w:rsidP="00D07227">
      <w:pPr>
        <w:spacing w:line="480" w:lineRule="auto"/>
        <w:rPr>
          <w:rFonts w:cs="Times New Roman"/>
          <w:i/>
        </w:rPr>
      </w:pPr>
      <w:r w:rsidRPr="0094401B">
        <w:rPr>
          <w:rFonts w:cs="Times New Roman"/>
          <w:i/>
        </w:rPr>
        <w:t>Corporate Behavior</w:t>
      </w:r>
    </w:p>
    <w:p w14:paraId="05C18E5E" w14:textId="77777777" w:rsidR="009C120D" w:rsidRPr="0094401B" w:rsidRDefault="009C120D" w:rsidP="00D07227">
      <w:pPr>
        <w:spacing w:line="480" w:lineRule="auto"/>
        <w:ind w:firstLine="720"/>
        <w:rPr>
          <w:rFonts w:cs="Times New Roman"/>
        </w:rPr>
      </w:pPr>
      <w:r w:rsidRPr="0094401B">
        <w:rPr>
          <w:rFonts w:cs="Times New Roman"/>
        </w:rPr>
        <w:t>Legitimate government certifications, based on official environmental criteria established in consultation between government, industries, and environmental groups, exist for corporate use. Corporations are recognizing the benefits gained by incorporating these labels as an integral part of strategic marketing. As such, companies are increasingly competing for the attention of “green” consumers by developing their own propriety labels as means of differentiating themselves in the market place. Due to limited disclosure regulations this strategy has become an appealing option for many companies. As a result, a proliferation of false, convoluted, claims that lack transparency have become an impediment to continued progress in the green industry. This poses significant implications to both policy and corporate responsibility. More effective policies are needed to govern how each industry sector improves and communicates environmental performance of products. Meanwhile, corporations must actively seek ways to revamp consumer trust in the environmental cr</w:t>
      </w:r>
      <w:r>
        <w:rPr>
          <w:rFonts w:cs="Times New Roman"/>
        </w:rPr>
        <w:t xml:space="preserve">edentials of their claims. </w:t>
      </w:r>
      <w:r w:rsidRPr="0094401B">
        <w:rPr>
          <w:rFonts w:cs="Times New Roman"/>
        </w:rPr>
        <w:t>Together corporations that adhere to more stringent regulations that discourage greenwashing can encourage further green product i</w:t>
      </w:r>
      <w:r>
        <w:rPr>
          <w:rFonts w:cs="Times New Roman"/>
        </w:rPr>
        <w:t xml:space="preserve">nnovation and commercialization. </w:t>
      </w:r>
    </w:p>
    <w:p w14:paraId="6D7F4CBD" w14:textId="6A6B5443" w:rsidR="009C120D" w:rsidRDefault="009C120D" w:rsidP="00D07227">
      <w:pPr>
        <w:spacing w:line="480" w:lineRule="auto"/>
        <w:rPr>
          <w:rFonts w:cs="Times New Roman"/>
        </w:rPr>
      </w:pPr>
      <w:r w:rsidRPr="0094401B">
        <w:rPr>
          <w:rFonts w:cs="Times New Roman"/>
        </w:rPr>
        <w:tab/>
        <w:t xml:space="preserve">This study’s findings revealed the degree to which </w:t>
      </w:r>
      <w:r>
        <w:rPr>
          <w:rFonts w:cs="Times New Roman"/>
        </w:rPr>
        <w:t xml:space="preserve">Millennial </w:t>
      </w:r>
      <w:r w:rsidRPr="0094401B">
        <w:rPr>
          <w:rFonts w:cs="Times New Roman"/>
        </w:rPr>
        <w:t>consumers base purchasing decisions off of brand loyalty</w:t>
      </w:r>
      <w:r>
        <w:rPr>
          <w:rFonts w:cs="Times New Roman"/>
        </w:rPr>
        <w:t xml:space="preserve"> and recognition.</w:t>
      </w:r>
      <w:r w:rsidRPr="0094401B">
        <w:rPr>
          <w:rFonts w:cs="Times New Roman"/>
        </w:rPr>
        <w:t xml:space="preserve"> This was especially clear in the cases of Tide and Oreo. Consumers are more likely to select a brand of familiarity than </w:t>
      </w:r>
      <w:r>
        <w:rPr>
          <w:rFonts w:cs="Times New Roman"/>
        </w:rPr>
        <w:t>their green counterpart. S</w:t>
      </w:r>
      <w:r w:rsidRPr="0094401B">
        <w:rPr>
          <w:rFonts w:cs="Times New Roman"/>
        </w:rPr>
        <w:t>ustainable markets are relatively small compared to total mainstream markets</w:t>
      </w:r>
      <w:r>
        <w:rPr>
          <w:rFonts w:cs="Times New Roman"/>
        </w:rPr>
        <w:t xml:space="preserve">, which makes it increasingly difficult for companies to compete with the large, established brands. </w:t>
      </w:r>
      <w:r w:rsidRPr="0094401B">
        <w:rPr>
          <w:rFonts w:cs="Times New Roman"/>
        </w:rPr>
        <w:t xml:space="preserve">As this market niche develops and the competition among companies for domination increases, it is becoming more imperative for sustainable marketers to be creative in their marketing mix to address areas that may be perceived as deficient </w:t>
      </w:r>
      <w:r>
        <w:rPr>
          <w:rFonts w:cs="Times New Roman"/>
        </w:rPr>
        <w:t>compared to traditional goods. The tendency for the Environmental</w:t>
      </w:r>
      <w:r w:rsidR="00215E96">
        <w:rPr>
          <w:rFonts w:cs="Times New Roman"/>
        </w:rPr>
        <w:t>ist</w:t>
      </w:r>
      <w:r>
        <w:rPr>
          <w:rFonts w:cs="Times New Roman"/>
        </w:rPr>
        <w:t xml:space="preserve">s to choose Back to Nature and Seventh Generation over their green competition illustrates this necessity. Millennials want to choose the eco-friendly options, but simply do not know how. Clear labeling indicating the product is green is essential for companies to successfully capture the attention and market share of Millennials. </w:t>
      </w:r>
    </w:p>
    <w:p w14:paraId="47AFEF63" w14:textId="77777777" w:rsidR="009C120D" w:rsidRDefault="009C120D" w:rsidP="00D07227">
      <w:pPr>
        <w:spacing w:line="480" w:lineRule="auto"/>
        <w:ind w:firstLine="720"/>
        <w:rPr>
          <w:rFonts w:cs="Times New Roman"/>
        </w:rPr>
      </w:pPr>
      <w:r w:rsidRPr="0094401B">
        <w:rPr>
          <w:rFonts w:cs="Times New Roman"/>
        </w:rPr>
        <w:t>Seventh Generation, one of the first companies founded upon sustainability principles in the US, has established itself as a leader in sustainability market. As of 2011, it was a $150 million brand selling across the natio</w:t>
      </w:r>
      <w:r>
        <w:rPr>
          <w:rFonts w:cs="Times New Roman"/>
        </w:rPr>
        <w:t xml:space="preserve">n (Creative Commons, 2012). As a result of the company’s </w:t>
      </w:r>
      <w:r w:rsidRPr="0094401B">
        <w:rPr>
          <w:rFonts w:cs="Times New Roman"/>
        </w:rPr>
        <w:t>strategic marketing, the corporation has been successful in creating a brand that an increasing amount of c</w:t>
      </w:r>
      <w:r>
        <w:rPr>
          <w:rFonts w:cs="Times New Roman"/>
        </w:rPr>
        <w:t xml:space="preserve">onsumers are becoming loyal to. Seventh Generation employs a host of different labeling strategies to make it clear to consumers that their product is environmentally friendly; the product bottles consist of natural imagery such as leaves and the name itself is an environmental metaphor. If you take a look at Mrs. Meyers; however, it becomes clear the brand lacks clear and effective labeling indicating it is eco-friendly. Because of this, the brand was significantly less successful in its ability to market to </w:t>
      </w:r>
      <w:proofErr w:type="gramStart"/>
      <w:r>
        <w:rPr>
          <w:rFonts w:cs="Times New Roman"/>
        </w:rPr>
        <w:t>Millennial</w:t>
      </w:r>
      <w:proofErr w:type="gramEnd"/>
      <w:r>
        <w:rPr>
          <w:rFonts w:cs="Times New Roman"/>
        </w:rPr>
        <w:t xml:space="preserve"> consumers.  </w:t>
      </w:r>
    </w:p>
    <w:p w14:paraId="437F8534" w14:textId="78007E49" w:rsidR="009C120D" w:rsidRPr="00051095" w:rsidRDefault="009C120D" w:rsidP="00D07227">
      <w:pPr>
        <w:spacing w:line="480" w:lineRule="auto"/>
        <w:ind w:firstLine="720"/>
        <w:rPr>
          <w:rFonts w:cs="Times New Roman"/>
        </w:rPr>
      </w:pPr>
      <w:r>
        <w:rPr>
          <w:rFonts w:cs="Times New Roman"/>
        </w:rPr>
        <w:t xml:space="preserve">The gains associated with green color schemes and natural imagery was illustrated again regarding eco-certifications. Respondents were unable to distinguish the legitimate labels from their fictitious counterparts. For example, a significant percent of Millennials were confident there was an environmental commitment associated with </w:t>
      </w:r>
      <w:proofErr w:type="spellStart"/>
      <w:r>
        <w:rPr>
          <w:rFonts w:cs="Times New Roman"/>
        </w:rPr>
        <w:t>Greenlist</w:t>
      </w:r>
      <w:proofErr w:type="spellEnd"/>
      <w:r>
        <w:rPr>
          <w:rFonts w:cs="Times New Roman"/>
        </w:rPr>
        <w:t>, a bogus certification introduced by the Clorox Company. To mask this ingenuity, the label incorporates the word “green” it the name, uses a natural green background and is overlaid by the outline of leaves and a stem. These characteristics can be found within the other green</w:t>
      </w:r>
      <w:r w:rsidR="000F6374">
        <w:rPr>
          <w:rFonts w:cs="Times New Roman"/>
        </w:rPr>
        <w:t>-</w:t>
      </w:r>
      <w:r>
        <w:rPr>
          <w:rFonts w:cs="Times New Roman"/>
        </w:rPr>
        <w:t xml:space="preserve">washed labels as well. Dissimilarly, the Marine Stewardship Council certification, whose environmental commitment was recognized by a minimal percent of respondents, lacks all of these qualities. The implications of these findings are that greenwashing </w:t>
      </w:r>
      <w:r>
        <w:rPr>
          <w:rFonts w:cs="Times New Roman"/>
          <w:i/>
        </w:rPr>
        <w:t>does</w:t>
      </w:r>
      <w:r>
        <w:rPr>
          <w:rFonts w:cs="Times New Roman"/>
        </w:rPr>
        <w:t xml:space="preserve"> in fact work, and certain features can be engineered in such a ways as to win over consumers. </w:t>
      </w:r>
    </w:p>
    <w:p w14:paraId="0E25E65F" w14:textId="45F9A08B" w:rsidR="009C120D" w:rsidRDefault="009C120D" w:rsidP="00D07227">
      <w:pPr>
        <w:spacing w:line="480" w:lineRule="auto"/>
        <w:ind w:firstLine="720"/>
        <w:rPr>
          <w:rFonts w:cs="Times New Roman"/>
          <w:color w:val="000000"/>
        </w:rPr>
      </w:pPr>
      <w:r>
        <w:rPr>
          <w:rFonts w:cs="Times New Roman"/>
        </w:rPr>
        <w:t>Research shows t</w:t>
      </w:r>
      <w:r w:rsidRPr="0094401B">
        <w:rPr>
          <w:rFonts w:cs="Times New Roman"/>
        </w:rPr>
        <w:t>he environmental movement has faith in labels, but consumers are too clueless to use them effectively. This brings forth the questions to business: is green marketing a wise investment? Long-term sustainability should be central to a business’s strategic development process in order to build long-term value. In today’s market, increasing amounts of pressure are put on corporations to “go green”, posing the formidable challenge to managers on how to do so</w:t>
      </w:r>
      <w:r>
        <w:rPr>
          <w:rFonts w:cs="Times New Roman"/>
        </w:rPr>
        <w:t xml:space="preserve"> most effectively</w:t>
      </w:r>
      <w:r w:rsidRPr="0094401B">
        <w:rPr>
          <w:rFonts w:cs="Times New Roman"/>
        </w:rPr>
        <w:t xml:space="preserve">. </w:t>
      </w:r>
      <w:r>
        <w:rPr>
          <w:rFonts w:cs="Times New Roman"/>
        </w:rPr>
        <w:t>More managers are recognizing the need to boost corporate environmental records in order to maintain a competitive enterprise in the industry. The corporations who have been successful in differentiating themselves based on environmental qualities focused on creating a strong brand image conveyed through clear labeling. Corporations may find it beneficial to incorporate labeling strategies that green</w:t>
      </w:r>
      <w:r w:rsidR="000F6374">
        <w:rPr>
          <w:rFonts w:cs="Times New Roman"/>
        </w:rPr>
        <w:t>-</w:t>
      </w:r>
      <w:r>
        <w:rPr>
          <w:rFonts w:cs="Times New Roman"/>
        </w:rPr>
        <w:t xml:space="preserve">washed products often employ. Characteristics like natural coloring schemes and images associated with nature are attributes that consumers associate with degrees of environmental commitment.  Reorienting marketing strategies so they are more in aesthetically in line with what green consumers are looking for have the potential to yield high rewards for corporations. The successful outcomes derived by clear marketing provide corporations a large incentive and drive to produce green products and </w:t>
      </w:r>
      <w:r w:rsidRPr="001F4D39">
        <w:rPr>
          <w:rFonts w:cs="Times New Roman"/>
        </w:rPr>
        <w:t>meet the increasing consumer demand.</w:t>
      </w:r>
    </w:p>
    <w:p w14:paraId="0AE3E2D3" w14:textId="77653A2C" w:rsidR="00D07227" w:rsidRDefault="00D07227">
      <w:pPr>
        <w:rPr>
          <w:rFonts w:cs="Times New Roman"/>
          <w:color w:val="000000"/>
        </w:rPr>
      </w:pPr>
      <w:r>
        <w:rPr>
          <w:rFonts w:cs="Times New Roman"/>
          <w:color w:val="000000"/>
        </w:rPr>
        <w:br w:type="page"/>
      </w:r>
    </w:p>
    <w:p w14:paraId="0175A83E" w14:textId="623487F8" w:rsidR="00B93167" w:rsidRDefault="007926A5" w:rsidP="009C120D">
      <w:pPr>
        <w:rPr>
          <w:rFonts w:cs="Times New Roman"/>
          <w:b/>
          <w:color w:val="000000"/>
        </w:rPr>
      </w:pPr>
      <w:r>
        <w:rPr>
          <w:rFonts w:cs="Times New Roman"/>
          <w:b/>
          <w:color w:val="000000"/>
        </w:rPr>
        <w:t>BIBLIOGRAPHY</w:t>
      </w:r>
    </w:p>
    <w:p w14:paraId="19C4088D" w14:textId="77777777" w:rsidR="00D07227" w:rsidRDefault="00D07227" w:rsidP="009C120D">
      <w:pPr>
        <w:rPr>
          <w:rFonts w:cs="Times New Roman"/>
          <w:b/>
          <w:color w:val="000000"/>
        </w:rPr>
      </w:pPr>
    </w:p>
    <w:p w14:paraId="6ECF3488" w14:textId="77777777" w:rsidR="007926A5" w:rsidRDefault="007926A5" w:rsidP="007926A5">
      <w:pPr>
        <w:shd w:val="clear" w:color="auto" w:fill="FFFFFF"/>
        <w:ind w:left="720" w:hanging="720"/>
        <w:rPr>
          <w:rFonts w:eastAsia="Times New Roman" w:cs="Times New Roman"/>
          <w:color w:val="212121"/>
        </w:rPr>
      </w:pPr>
      <w:proofErr w:type="spellStart"/>
      <w:proofErr w:type="gramStart"/>
      <w:r>
        <w:rPr>
          <w:rFonts w:eastAsia="Times New Roman" w:cs="Times New Roman"/>
          <w:color w:val="212121"/>
        </w:rPr>
        <w:t>Bleda</w:t>
      </w:r>
      <w:proofErr w:type="spellEnd"/>
      <w:r>
        <w:rPr>
          <w:rFonts w:eastAsia="Times New Roman" w:cs="Times New Roman"/>
          <w:color w:val="212121"/>
        </w:rPr>
        <w:t>, Mercedes; Valente, Marco.</w:t>
      </w:r>
      <w:proofErr w:type="gramEnd"/>
      <w:r>
        <w:rPr>
          <w:rFonts w:eastAsia="Times New Roman" w:cs="Times New Roman"/>
          <w:color w:val="212121"/>
        </w:rPr>
        <w:t xml:space="preserve"> "Graded Eco-Labels: A Demand-Oriented Approach to Reduce Pollution". </w:t>
      </w:r>
      <w:proofErr w:type="gramStart"/>
      <w:r>
        <w:rPr>
          <w:rFonts w:eastAsia="Times New Roman" w:cs="Times New Roman"/>
          <w:i/>
          <w:color w:val="212121"/>
        </w:rPr>
        <w:t>Technological Forecasting &amp; Social Change</w:t>
      </w:r>
      <w:r>
        <w:rPr>
          <w:rFonts w:eastAsia="Times New Roman" w:cs="Times New Roman"/>
          <w:color w:val="212121"/>
        </w:rPr>
        <w:t>.</w:t>
      </w:r>
      <w:proofErr w:type="gramEnd"/>
      <w:r>
        <w:rPr>
          <w:rFonts w:eastAsia="Times New Roman" w:cs="Times New Roman"/>
          <w:color w:val="212121"/>
        </w:rPr>
        <w:t xml:space="preserve"> 2009. Web. </w:t>
      </w:r>
    </w:p>
    <w:p w14:paraId="1E1F34FA" w14:textId="77777777" w:rsidR="007926A5" w:rsidRDefault="007926A5" w:rsidP="007926A5">
      <w:pPr>
        <w:shd w:val="clear" w:color="auto" w:fill="FFFFFF"/>
        <w:ind w:left="720" w:hanging="720"/>
        <w:rPr>
          <w:rFonts w:eastAsia="Times New Roman" w:cs="Times New Roman"/>
          <w:color w:val="212121"/>
        </w:rPr>
      </w:pPr>
    </w:p>
    <w:p w14:paraId="2E402021" w14:textId="77777777" w:rsidR="007926A5" w:rsidRDefault="007926A5" w:rsidP="007926A5">
      <w:pPr>
        <w:shd w:val="clear" w:color="auto" w:fill="FFFFFF"/>
        <w:ind w:left="720" w:hanging="720"/>
        <w:rPr>
          <w:rFonts w:eastAsia="Times New Roman" w:cs="Times New Roman"/>
          <w:color w:val="212121"/>
        </w:rPr>
      </w:pPr>
      <w:r>
        <w:rPr>
          <w:rFonts w:eastAsia="Times New Roman" w:cs="Times New Roman"/>
          <w:color w:val="212121"/>
        </w:rPr>
        <w:t xml:space="preserve">Bloom, Paul N.; </w:t>
      </w:r>
      <w:proofErr w:type="spellStart"/>
      <w:r>
        <w:rPr>
          <w:rFonts w:eastAsia="Times New Roman" w:cs="Times New Roman"/>
          <w:color w:val="212121"/>
        </w:rPr>
        <w:t>Hoeffler</w:t>
      </w:r>
      <w:proofErr w:type="spellEnd"/>
      <w:r>
        <w:rPr>
          <w:rFonts w:eastAsia="Times New Roman" w:cs="Times New Roman"/>
          <w:color w:val="212121"/>
        </w:rPr>
        <w:t xml:space="preserve">, Steve; Keller, Kevin Lane; Meza, Carlos E. </w:t>
      </w:r>
      <w:proofErr w:type="spellStart"/>
      <w:r>
        <w:rPr>
          <w:rFonts w:eastAsia="Times New Roman" w:cs="Times New Roman"/>
          <w:color w:val="212121"/>
        </w:rPr>
        <w:t>Basurto</w:t>
      </w:r>
      <w:proofErr w:type="spellEnd"/>
      <w:r>
        <w:rPr>
          <w:rFonts w:eastAsia="Times New Roman" w:cs="Times New Roman"/>
          <w:color w:val="212121"/>
        </w:rPr>
        <w:t xml:space="preserve">. </w:t>
      </w:r>
      <w:proofErr w:type="gramStart"/>
      <w:r>
        <w:rPr>
          <w:rFonts w:eastAsia="Times New Roman" w:cs="Times New Roman"/>
          <w:color w:val="212121"/>
        </w:rPr>
        <w:t>"How Social-Cause Marketing Affects Consumer Perceptions".</w:t>
      </w:r>
      <w:proofErr w:type="gramEnd"/>
      <w:r>
        <w:rPr>
          <w:rFonts w:eastAsia="Times New Roman" w:cs="Times New Roman"/>
          <w:color w:val="212121"/>
        </w:rPr>
        <w:t xml:space="preserve"> </w:t>
      </w:r>
      <w:proofErr w:type="gramStart"/>
      <w:r>
        <w:rPr>
          <w:rFonts w:eastAsia="Times New Roman" w:cs="Times New Roman"/>
          <w:i/>
          <w:color w:val="212121"/>
        </w:rPr>
        <w:t>MIT Sloan Management Review</w:t>
      </w:r>
      <w:r>
        <w:rPr>
          <w:rFonts w:eastAsia="Times New Roman" w:cs="Times New Roman"/>
          <w:color w:val="212121"/>
        </w:rPr>
        <w:t>.</w:t>
      </w:r>
      <w:proofErr w:type="gramEnd"/>
      <w:r>
        <w:rPr>
          <w:rFonts w:eastAsia="Times New Roman" w:cs="Times New Roman"/>
          <w:color w:val="212121"/>
        </w:rPr>
        <w:t xml:space="preserve"> 2006. Web. </w:t>
      </w:r>
    </w:p>
    <w:p w14:paraId="6D1D6C80" w14:textId="77777777" w:rsidR="007926A5" w:rsidRPr="00EB2563" w:rsidRDefault="007926A5" w:rsidP="007926A5">
      <w:pPr>
        <w:shd w:val="clear" w:color="auto" w:fill="FFFFFF"/>
        <w:ind w:left="720" w:hanging="720"/>
        <w:rPr>
          <w:rFonts w:eastAsia="Times New Roman" w:cs="Times New Roman"/>
          <w:color w:val="212121"/>
        </w:rPr>
      </w:pPr>
    </w:p>
    <w:p w14:paraId="1CD85487"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spellStart"/>
      <w:r w:rsidRPr="00684134">
        <w:rPr>
          <w:rFonts w:ascii="Times" w:hAnsi="Times" w:cs="Times New Roman"/>
        </w:rPr>
        <w:t>Bonini</w:t>
      </w:r>
      <w:proofErr w:type="spellEnd"/>
      <w:r w:rsidRPr="00684134">
        <w:rPr>
          <w:rFonts w:ascii="Times" w:hAnsi="Times" w:cs="Times New Roman"/>
        </w:rPr>
        <w:t>, Sheila, and Jeremy Oppenheim. "</w:t>
      </w:r>
      <w:r w:rsidRPr="00684134">
        <w:rPr>
          <w:rFonts w:ascii="Times" w:hAnsi="Times" w:cs="Times New Roman"/>
          <w:bCs/>
        </w:rPr>
        <w:t>Cultivating the Green Consumer</w:t>
      </w:r>
      <w:r w:rsidRPr="00684134">
        <w:rPr>
          <w:rFonts w:ascii="Times" w:hAnsi="Times" w:cs="Times New Roman"/>
        </w:rPr>
        <w:t xml:space="preserve">." </w:t>
      </w:r>
      <w:proofErr w:type="spellStart"/>
      <w:proofErr w:type="gramStart"/>
      <w:r w:rsidRPr="00684134">
        <w:rPr>
          <w:rFonts w:ascii="Times" w:hAnsi="Times" w:cs="Times New Roman"/>
          <w:i/>
          <w:iCs/>
        </w:rPr>
        <w:t>Standford</w:t>
      </w:r>
      <w:proofErr w:type="spellEnd"/>
      <w:r w:rsidRPr="00684134">
        <w:rPr>
          <w:rFonts w:ascii="Times" w:hAnsi="Times" w:cs="Times New Roman"/>
          <w:i/>
          <w:iCs/>
        </w:rPr>
        <w:t xml:space="preserve"> Social Innovation Review</w:t>
      </w:r>
      <w:r w:rsidRPr="00684134">
        <w:rPr>
          <w:rFonts w:ascii="Times" w:hAnsi="Times" w:cs="Times New Roman"/>
        </w:rPr>
        <w:t xml:space="preserve"> 2008.</w:t>
      </w:r>
      <w:proofErr w:type="gramEnd"/>
      <w:r w:rsidRPr="00684134">
        <w:rPr>
          <w:rFonts w:ascii="Times" w:hAnsi="Times" w:cs="Times New Roman"/>
        </w:rPr>
        <w:t xml:space="preserve"> Web.</w:t>
      </w:r>
    </w:p>
    <w:p w14:paraId="322F736B" w14:textId="77777777" w:rsidR="007926A5" w:rsidRDefault="007926A5" w:rsidP="007926A5">
      <w:pPr>
        <w:widowControl w:val="0"/>
        <w:autoSpaceDE w:val="0"/>
        <w:autoSpaceDN w:val="0"/>
        <w:adjustRightInd w:val="0"/>
        <w:spacing w:after="240"/>
        <w:ind w:left="720" w:hanging="720"/>
        <w:rPr>
          <w:rFonts w:ascii="Times" w:hAnsi="Times" w:cs="Times New Roman"/>
        </w:rPr>
      </w:pPr>
      <w:proofErr w:type="spellStart"/>
      <w:r w:rsidRPr="00684134">
        <w:rPr>
          <w:rFonts w:ascii="Times" w:hAnsi="Times" w:cs="Times New Roman"/>
        </w:rPr>
        <w:t>Bonini</w:t>
      </w:r>
      <w:proofErr w:type="spellEnd"/>
      <w:r w:rsidRPr="00684134">
        <w:rPr>
          <w:rFonts w:ascii="Times" w:hAnsi="Times" w:cs="Times New Roman"/>
        </w:rPr>
        <w:t xml:space="preserve">, Sheila, Greg Hintz, and Lenny T. </w:t>
      </w:r>
      <w:proofErr w:type="spellStart"/>
      <w:r w:rsidRPr="00684134">
        <w:rPr>
          <w:rFonts w:ascii="Times" w:hAnsi="Times" w:cs="Times New Roman"/>
        </w:rPr>
        <w:t>Mendonca</w:t>
      </w:r>
      <w:proofErr w:type="spellEnd"/>
      <w:r w:rsidRPr="00684134">
        <w:rPr>
          <w:rFonts w:ascii="Times" w:hAnsi="Times" w:cs="Times New Roman"/>
        </w:rPr>
        <w:t xml:space="preserve">. </w:t>
      </w:r>
      <w:r w:rsidRPr="00684134">
        <w:rPr>
          <w:rFonts w:ascii="Times" w:hAnsi="Times" w:cs="Times New Roman"/>
          <w:i/>
          <w:iCs/>
        </w:rPr>
        <w:t>Addressing Consumer Concerns about Climate Change</w:t>
      </w:r>
      <w:r w:rsidRPr="00684134">
        <w:rPr>
          <w:rFonts w:ascii="Times" w:hAnsi="Times" w:cs="Times New Roman"/>
        </w:rPr>
        <w:t xml:space="preserve">. The McKinsey Quarterly, 2008. Web. </w:t>
      </w:r>
    </w:p>
    <w:p w14:paraId="616BA86F" w14:textId="77777777" w:rsidR="007926A5" w:rsidRPr="00C16878" w:rsidRDefault="007926A5" w:rsidP="007926A5">
      <w:pPr>
        <w:shd w:val="clear" w:color="auto" w:fill="FFFFFF"/>
        <w:ind w:left="720" w:hanging="720"/>
        <w:rPr>
          <w:rFonts w:eastAsia="Times New Roman" w:cs="Times New Roman"/>
          <w:color w:val="212121"/>
        </w:rPr>
      </w:pPr>
      <w:r w:rsidRPr="00C16878">
        <w:rPr>
          <w:rFonts w:eastAsia="Times New Roman" w:cs="Times New Roman"/>
          <w:color w:val="212121"/>
        </w:rPr>
        <w:t xml:space="preserve">Davis, Joel J. "Consumer Response to Corporate Environmental Advertising". </w:t>
      </w:r>
      <w:proofErr w:type="gramStart"/>
      <w:r w:rsidRPr="00C16878">
        <w:rPr>
          <w:rFonts w:eastAsia="Times New Roman" w:cs="Times New Roman"/>
          <w:i/>
          <w:color w:val="212121"/>
        </w:rPr>
        <w:t>The Journal of Consumer Marketing</w:t>
      </w:r>
      <w:r w:rsidRPr="00C16878">
        <w:rPr>
          <w:rFonts w:eastAsia="Times New Roman" w:cs="Times New Roman"/>
          <w:color w:val="212121"/>
        </w:rPr>
        <w:t>.</w:t>
      </w:r>
      <w:proofErr w:type="gramEnd"/>
      <w:r w:rsidRPr="00C16878">
        <w:rPr>
          <w:rFonts w:eastAsia="Times New Roman" w:cs="Times New Roman"/>
          <w:color w:val="212121"/>
        </w:rPr>
        <w:t xml:space="preserve"> 1994. Web. </w:t>
      </w:r>
    </w:p>
    <w:p w14:paraId="7A299EFC"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
    <w:p w14:paraId="29C522A2"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spellStart"/>
      <w:r w:rsidRPr="00684134">
        <w:rPr>
          <w:rFonts w:ascii="Times" w:hAnsi="Times" w:cs="Times New Roman"/>
        </w:rPr>
        <w:t>Delafrooz</w:t>
      </w:r>
      <w:proofErr w:type="spellEnd"/>
      <w:r w:rsidRPr="00684134">
        <w:rPr>
          <w:rFonts w:ascii="Times" w:hAnsi="Times" w:cs="Times New Roman"/>
        </w:rPr>
        <w:t xml:space="preserve">, </w:t>
      </w:r>
      <w:proofErr w:type="spellStart"/>
      <w:r w:rsidRPr="00684134">
        <w:rPr>
          <w:rFonts w:ascii="Times" w:hAnsi="Times" w:cs="Times New Roman"/>
        </w:rPr>
        <w:t>Narges</w:t>
      </w:r>
      <w:proofErr w:type="spellEnd"/>
      <w:r w:rsidRPr="00684134">
        <w:rPr>
          <w:rFonts w:ascii="Times" w:hAnsi="Times" w:cs="Times New Roman"/>
        </w:rPr>
        <w:t xml:space="preserve">, Mohammad </w:t>
      </w:r>
      <w:proofErr w:type="spellStart"/>
      <w:r w:rsidRPr="00684134">
        <w:rPr>
          <w:rFonts w:ascii="Times" w:hAnsi="Times" w:cs="Times New Roman"/>
        </w:rPr>
        <w:t>Taleghani</w:t>
      </w:r>
      <w:proofErr w:type="spellEnd"/>
      <w:r w:rsidRPr="00684134">
        <w:rPr>
          <w:rFonts w:ascii="Times" w:hAnsi="Times" w:cs="Times New Roman"/>
        </w:rPr>
        <w:t xml:space="preserve">, and </w:t>
      </w:r>
      <w:proofErr w:type="spellStart"/>
      <w:r w:rsidRPr="00684134">
        <w:rPr>
          <w:rFonts w:ascii="Times" w:hAnsi="Times" w:cs="Times New Roman"/>
        </w:rPr>
        <w:t>Bahareh</w:t>
      </w:r>
      <w:proofErr w:type="spellEnd"/>
      <w:r w:rsidRPr="00684134">
        <w:rPr>
          <w:rFonts w:ascii="Times" w:hAnsi="Times" w:cs="Times New Roman"/>
        </w:rPr>
        <w:t xml:space="preserve"> </w:t>
      </w:r>
      <w:proofErr w:type="spellStart"/>
      <w:r w:rsidRPr="00684134">
        <w:rPr>
          <w:rFonts w:ascii="Times" w:hAnsi="Times" w:cs="Times New Roman"/>
        </w:rPr>
        <w:t>Nouri</w:t>
      </w:r>
      <w:proofErr w:type="spellEnd"/>
      <w:r w:rsidRPr="00684134">
        <w:rPr>
          <w:rFonts w:ascii="Times" w:hAnsi="Times" w:cs="Times New Roman"/>
        </w:rPr>
        <w:t>. "</w:t>
      </w:r>
      <w:r w:rsidRPr="00684134">
        <w:rPr>
          <w:rFonts w:ascii="Times" w:hAnsi="Times" w:cs="Times New Roman"/>
          <w:bCs/>
        </w:rPr>
        <w:t>Effects of Green Marketing on Consumer Purchase Behavior</w:t>
      </w:r>
      <w:r w:rsidRPr="00684134">
        <w:rPr>
          <w:rFonts w:ascii="Times" w:hAnsi="Times" w:cs="Times New Roman"/>
        </w:rPr>
        <w:t xml:space="preserve">." </w:t>
      </w:r>
      <w:proofErr w:type="spellStart"/>
      <w:r w:rsidRPr="00684134">
        <w:rPr>
          <w:rFonts w:ascii="Times" w:hAnsi="Times" w:cs="Times New Roman"/>
          <w:i/>
          <w:iCs/>
        </w:rPr>
        <w:t>QScience</w:t>
      </w:r>
      <w:proofErr w:type="spellEnd"/>
      <w:r w:rsidRPr="00684134">
        <w:rPr>
          <w:rFonts w:ascii="Times" w:hAnsi="Times" w:cs="Times New Roman"/>
          <w:i/>
          <w:iCs/>
        </w:rPr>
        <w:t xml:space="preserve"> Connect</w:t>
      </w:r>
      <w:r w:rsidRPr="00684134">
        <w:rPr>
          <w:rFonts w:ascii="Times" w:hAnsi="Times" w:cs="Times New Roman"/>
        </w:rPr>
        <w:t xml:space="preserve"> 2014.5 (2014)</w:t>
      </w:r>
      <w:proofErr w:type="gramStart"/>
      <w:r w:rsidRPr="00684134">
        <w:rPr>
          <w:rFonts w:ascii="Times" w:hAnsi="Times" w:cs="Times New Roman"/>
        </w:rPr>
        <w:t>.Web</w:t>
      </w:r>
      <w:proofErr w:type="gramEnd"/>
      <w:r w:rsidRPr="00684134">
        <w:rPr>
          <w:rFonts w:ascii="Times" w:hAnsi="Times" w:cs="Times New Roman"/>
        </w:rPr>
        <w:t xml:space="preserve">. </w:t>
      </w:r>
    </w:p>
    <w:p w14:paraId="0ACE68B6"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gramStart"/>
      <w:r w:rsidRPr="00684134">
        <w:rPr>
          <w:rFonts w:ascii="Times" w:hAnsi="Times" w:cs="Times New Roman"/>
          <w:i/>
          <w:iCs/>
        </w:rPr>
        <w:t>Department Report 2007</w:t>
      </w:r>
      <w:r w:rsidRPr="00684134">
        <w:rPr>
          <w:rFonts w:ascii="Times" w:hAnsi="Times" w:cs="Times New Roman"/>
        </w:rPr>
        <w:t>.</w:t>
      </w:r>
      <w:proofErr w:type="gramEnd"/>
      <w:r w:rsidRPr="00684134">
        <w:rPr>
          <w:rFonts w:ascii="Times" w:hAnsi="Times" w:cs="Times New Roman"/>
        </w:rPr>
        <w:t xml:space="preserve"> cm 7103 Vol. Department for Environment, Food and Rural Affairs, 2007. Web. </w:t>
      </w:r>
    </w:p>
    <w:p w14:paraId="2B93C903"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r w:rsidRPr="00684134">
        <w:rPr>
          <w:rFonts w:ascii="Times" w:hAnsi="Times" w:cs="Times New Roman"/>
        </w:rPr>
        <w:t xml:space="preserve">Fulmer, Melinda. "Eco-Labels on Food Called into Question; Marketing: With Few Rules and Lax Oversight, some Producers Put Unsubstantiated Claims on their Products." </w:t>
      </w:r>
      <w:r w:rsidRPr="00684134">
        <w:rPr>
          <w:rFonts w:ascii="Times" w:hAnsi="Times" w:cs="Times New Roman"/>
          <w:i/>
          <w:iCs/>
        </w:rPr>
        <w:t>Los Angeles Times</w:t>
      </w:r>
      <w:r w:rsidRPr="00684134">
        <w:rPr>
          <w:rFonts w:ascii="Times" w:hAnsi="Times" w:cs="Times New Roman"/>
        </w:rPr>
        <w:t xml:space="preserve">: C.1. Aug 26, 2001. </w:t>
      </w:r>
      <w:proofErr w:type="gramStart"/>
      <w:r w:rsidRPr="00684134">
        <w:rPr>
          <w:rFonts w:ascii="Times" w:hAnsi="Times" w:cs="Times New Roman"/>
          <w:i/>
          <w:iCs/>
        </w:rPr>
        <w:t>National Newspapers Premier.</w:t>
      </w:r>
      <w:proofErr w:type="gramEnd"/>
      <w:r w:rsidRPr="00684134">
        <w:rPr>
          <w:rFonts w:ascii="Times" w:hAnsi="Times" w:cs="Times New Roman"/>
          <w:i/>
          <w:iCs/>
        </w:rPr>
        <w:t xml:space="preserve"> </w:t>
      </w:r>
      <w:r w:rsidRPr="00684134">
        <w:rPr>
          <w:rFonts w:ascii="Times" w:hAnsi="Times" w:cs="Times New Roman"/>
        </w:rPr>
        <w:t>Web. &lt;</w:t>
      </w:r>
      <w:hyperlink r:id="rId7" w:history="1">
        <w:r w:rsidRPr="00684134">
          <w:rPr>
            <w:rFonts w:ascii="Times" w:hAnsi="Times" w:cs="Times New Roman"/>
            <w:color w:val="0000F6"/>
            <w:u w:val="single" w:color="0000F6"/>
          </w:rPr>
          <w:t>http://search.proquest.com/docview/421631493?accountid=13894</w:t>
        </w:r>
      </w:hyperlink>
      <w:r w:rsidRPr="00684134">
        <w:rPr>
          <w:rFonts w:ascii="Times" w:hAnsi="Times" w:cs="Times New Roman"/>
        </w:rPr>
        <w:t>&gt;.</w:t>
      </w:r>
    </w:p>
    <w:p w14:paraId="5F934916" w14:textId="77777777" w:rsidR="007926A5" w:rsidRPr="00684134" w:rsidRDefault="007926A5" w:rsidP="007926A5">
      <w:pPr>
        <w:ind w:left="720" w:hanging="720"/>
        <w:rPr>
          <w:rFonts w:ascii="Times" w:hAnsi="Times"/>
        </w:rPr>
      </w:pPr>
      <w:proofErr w:type="spellStart"/>
      <w:r w:rsidRPr="00684134">
        <w:rPr>
          <w:rFonts w:ascii="Times" w:hAnsi="Times"/>
        </w:rPr>
        <w:t>Furlow</w:t>
      </w:r>
      <w:proofErr w:type="spellEnd"/>
      <w:r w:rsidRPr="00684134">
        <w:rPr>
          <w:rFonts w:ascii="Times" w:hAnsi="Times"/>
        </w:rPr>
        <w:t xml:space="preserve">, Nancy </w:t>
      </w:r>
      <w:proofErr w:type="spellStart"/>
      <w:r w:rsidRPr="00684134">
        <w:rPr>
          <w:rFonts w:ascii="Times" w:hAnsi="Times"/>
        </w:rPr>
        <w:t>Engelhardt</w:t>
      </w:r>
      <w:proofErr w:type="spellEnd"/>
      <w:r w:rsidRPr="00684134">
        <w:rPr>
          <w:rFonts w:ascii="Times" w:hAnsi="Times"/>
        </w:rPr>
        <w:t xml:space="preserve"> and Cynthia Knott. “Who’s Reading the Label? Millennials’ Use of Environmental Product Labels.” </w:t>
      </w:r>
      <w:r w:rsidRPr="00684134">
        <w:rPr>
          <w:rFonts w:ascii="Times" w:hAnsi="Times"/>
          <w:i/>
        </w:rPr>
        <w:t>Journal of Applied Business and Economics</w:t>
      </w:r>
      <w:r w:rsidRPr="00684134">
        <w:rPr>
          <w:rFonts w:ascii="Times" w:hAnsi="Times"/>
        </w:rPr>
        <w:t xml:space="preserve"> 10.3 2009: 85-96. Web.</w:t>
      </w:r>
    </w:p>
    <w:p w14:paraId="3067B865" w14:textId="77777777" w:rsidR="007926A5" w:rsidRPr="00684134" w:rsidRDefault="007926A5" w:rsidP="007926A5">
      <w:pPr>
        <w:ind w:left="720" w:hanging="720"/>
        <w:rPr>
          <w:rFonts w:ascii="Times" w:hAnsi="Times"/>
        </w:rPr>
      </w:pPr>
    </w:p>
    <w:p w14:paraId="1619C7A5" w14:textId="77777777" w:rsidR="007926A5" w:rsidRPr="00684134" w:rsidRDefault="007926A5" w:rsidP="007926A5">
      <w:pPr>
        <w:ind w:left="720" w:hanging="720"/>
        <w:rPr>
          <w:rFonts w:ascii="Times" w:hAnsi="Times"/>
        </w:rPr>
      </w:pPr>
      <w:proofErr w:type="spellStart"/>
      <w:r w:rsidRPr="00684134">
        <w:rPr>
          <w:rFonts w:ascii="Times" w:hAnsi="Times"/>
        </w:rPr>
        <w:t>Gaudelli</w:t>
      </w:r>
      <w:proofErr w:type="spellEnd"/>
      <w:r w:rsidRPr="00684134">
        <w:rPr>
          <w:rFonts w:ascii="Times" w:hAnsi="Times"/>
        </w:rPr>
        <w:t xml:space="preserve">, Janis. “The Greenest Generation: The Truth Behind Millennials and the Green Movement.” </w:t>
      </w:r>
      <w:r w:rsidRPr="00684134">
        <w:rPr>
          <w:rFonts w:ascii="Times" w:hAnsi="Times"/>
          <w:i/>
        </w:rPr>
        <w:t xml:space="preserve">Advertising Age </w:t>
      </w:r>
      <w:r w:rsidRPr="00684134">
        <w:rPr>
          <w:rFonts w:ascii="Times" w:hAnsi="Times"/>
        </w:rPr>
        <w:t>2009. Web.</w:t>
      </w:r>
    </w:p>
    <w:p w14:paraId="760CCD52" w14:textId="77777777" w:rsidR="007926A5" w:rsidRPr="00684134" w:rsidRDefault="007926A5" w:rsidP="007926A5">
      <w:pPr>
        <w:ind w:left="720" w:hanging="720"/>
        <w:rPr>
          <w:rFonts w:ascii="Times" w:hAnsi="Times"/>
        </w:rPr>
      </w:pPr>
    </w:p>
    <w:p w14:paraId="642DAE76" w14:textId="77777777" w:rsidR="007926A5" w:rsidRDefault="007926A5" w:rsidP="007926A5">
      <w:pPr>
        <w:widowControl w:val="0"/>
        <w:autoSpaceDE w:val="0"/>
        <w:autoSpaceDN w:val="0"/>
        <w:adjustRightInd w:val="0"/>
        <w:spacing w:after="240"/>
        <w:ind w:left="720" w:hanging="720"/>
        <w:rPr>
          <w:rFonts w:ascii="Times" w:hAnsi="Times" w:cs="Times New Roman"/>
        </w:rPr>
      </w:pPr>
      <w:proofErr w:type="spellStart"/>
      <w:proofErr w:type="gramStart"/>
      <w:r w:rsidRPr="00684134">
        <w:rPr>
          <w:rFonts w:ascii="Times" w:hAnsi="Times" w:cs="Times New Roman"/>
          <w:i/>
          <w:iCs/>
        </w:rPr>
        <w:t>GfK</w:t>
      </w:r>
      <w:proofErr w:type="spellEnd"/>
      <w:r w:rsidRPr="00684134">
        <w:rPr>
          <w:rFonts w:ascii="Times" w:hAnsi="Times" w:cs="Times New Roman"/>
          <w:i/>
          <w:iCs/>
        </w:rPr>
        <w:t xml:space="preserve"> Roper Green Gauge (R) Study</w:t>
      </w:r>
      <w:r w:rsidRPr="00684134">
        <w:rPr>
          <w:rFonts w:ascii="Times" w:hAnsi="Times" w:cs="Times New Roman"/>
        </w:rPr>
        <w:t>.</w:t>
      </w:r>
      <w:proofErr w:type="gramEnd"/>
      <w:r w:rsidRPr="00684134">
        <w:rPr>
          <w:rFonts w:ascii="Times" w:hAnsi="Times" w:cs="Times New Roman"/>
        </w:rPr>
        <w:t xml:space="preserve"> New York: </w:t>
      </w:r>
      <w:proofErr w:type="spellStart"/>
      <w:r w:rsidRPr="00684134">
        <w:rPr>
          <w:rFonts w:ascii="Times" w:hAnsi="Times" w:cs="Times New Roman"/>
        </w:rPr>
        <w:t>GfK</w:t>
      </w:r>
      <w:proofErr w:type="spellEnd"/>
      <w:r w:rsidRPr="00684134">
        <w:rPr>
          <w:rFonts w:ascii="Times" w:hAnsi="Times" w:cs="Times New Roman"/>
        </w:rPr>
        <w:t xml:space="preserve"> Roper Consulting, 2007. Web. </w:t>
      </w:r>
    </w:p>
    <w:p w14:paraId="478ABF75" w14:textId="77777777" w:rsidR="007926A5" w:rsidRPr="00C16878" w:rsidRDefault="007926A5" w:rsidP="007926A5">
      <w:pPr>
        <w:shd w:val="clear" w:color="auto" w:fill="FFFFFF"/>
        <w:ind w:left="720" w:hanging="720"/>
        <w:rPr>
          <w:rFonts w:eastAsia="Times New Roman" w:cs="Times New Roman"/>
          <w:color w:val="212121"/>
        </w:rPr>
      </w:pPr>
      <w:proofErr w:type="spellStart"/>
      <w:proofErr w:type="gramStart"/>
      <w:r w:rsidRPr="00C16878">
        <w:rPr>
          <w:rFonts w:eastAsia="Times New Roman" w:cs="Times New Roman"/>
          <w:color w:val="212121"/>
        </w:rPr>
        <w:t>Griskevicius</w:t>
      </w:r>
      <w:proofErr w:type="spellEnd"/>
      <w:r w:rsidRPr="00C16878">
        <w:rPr>
          <w:rFonts w:eastAsia="Times New Roman" w:cs="Times New Roman"/>
          <w:color w:val="212121"/>
        </w:rPr>
        <w:t xml:space="preserve">, </w:t>
      </w:r>
      <w:proofErr w:type="spellStart"/>
      <w:r w:rsidRPr="00C16878">
        <w:rPr>
          <w:rFonts w:eastAsia="Times New Roman" w:cs="Times New Roman"/>
          <w:color w:val="212121"/>
        </w:rPr>
        <w:t>Vladas</w:t>
      </w:r>
      <w:proofErr w:type="spellEnd"/>
      <w:r w:rsidRPr="00C16878">
        <w:rPr>
          <w:rFonts w:eastAsia="Times New Roman" w:cs="Times New Roman"/>
          <w:color w:val="212121"/>
        </w:rPr>
        <w:t xml:space="preserve">; </w:t>
      </w:r>
      <w:proofErr w:type="spellStart"/>
      <w:r w:rsidRPr="00C16878">
        <w:rPr>
          <w:rFonts w:eastAsia="Times New Roman" w:cs="Times New Roman"/>
          <w:color w:val="212121"/>
        </w:rPr>
        <w:t>Tybur</w:t>
      </w:r>
      <w:proofErr w:type="spellEnd"/>
      <w:r w:rsidRPr="00C16878">
        <w:rPr>
          <w:rFonts w:eastAsia="Times New Roman" w:cs="Times New Roman"/>
          <w:color w:val="212121"/>
        </w:rPr>
        <w:t>, Joshua M; Van den Bergh, Bram.</w:t>
      </w:r>
      <w:proofErr w:type="gramEnd"/>
      <w:r w:rsidRPr="00C16878">
        <w:rPr>
          <w:rFonts w:eastAsia="Times New Roman" w:cs="Times New Roman"/>
          <w:color w:val="212121"/>
        </w:rPr>
        <w:t xml:space="preserve"> "Going Green to Be Seen: Status, Reputation, and Conspicuous Conservation". </w:t>
      </w:r>
      <w:proofErr w:type="gramStart"/>
      <w:r w:rsidRPr="00C16878">
        <w:rPr>
          <w:rFonts w:eastAsia="Times New Roman" w:cs="Times New Roman"/>
          <w:i/>
          <w:color w:val="212121"/>
        </w:rPr>
        <w:t>Journal of Personality and Social Psychology</w:t>
      </w:r>
      <w:r w:rsidRPr="00C16878">
        <w:rPr>
          <w:rFonts w:eastAsia="Times New Roman" w:cs="Times New Roman"/>
          <w:color w:val="212121"/>
        </w:rPr>
        <w:t>.</w:t>
      </w:r>
      <w:proofErr w:type="gramEnd"/>
      <w:r w:rsidRPr="00C16878">
        <w:rPr>
          <w:rFonts w:eastAsia="Times New Roman" w:cs="Times New Roman"/>
          <w:color w:val="212121"/>
        </w:rPr>
        <w:t xml:space="preserve"> 2010. Web. </w:t>
      </w:r>
    </w:p>
    <w:p w14:paraId="30DFB622" w14:textId="77777777" w:rsidR="007926A5" w:rsidRDefault="007926A5" w:rsidP="007926A5">
      <w:pPr>
        <w:widowControl w:val="0"/>
        <w:autoSpaceDE w:val="0"/>
        <w:autoSpaceDN w:val="0"/>
        <w:adjustRightInd w:val="0"/>
        <w:spacing w:after="240"/>
        <w:ind w:left="720" w:hanging="720"/>
        <w:rPr>
          <w:rFonts w:ascii="Times" w:hAnsi="Times" w:cs="Times New Roman"/>
        </w:rPr>
      </w:pPr>
    </w:p>
    <w:p w14:paraId="115B0CE6" w14:textId="77777777" w:rsidR="007926A5" w:rsidRPr="00C16878" w:rsidRDefault="007926A5" w:rsidP="007926A5">
      <w:pPr>
        <w:shd w:val="clear" w:color="auto" w:fill="FFFFFF"/>
        <w:ind w:left="720" w:hanging="720"/>
        <w:rPr>
          <w:rFonts w:eastAsia="Times New Roman" w:cs="Times New Roman"/>
          <w:color w:val="212121"/>
        </w:rPr>
      </w:pPr>
      <w:proofErr w:type="gramStart"/>
      <w:r w:rsidRPr="00C16878">
        <w:rPr>
          <w:rFonts w:eastAsia="Times New Roman" w:cs="Times New Roman"/>
          <w:color w:val="212121"/>
        </w:rPr>
        <w:t xml:space="preserve">Hartmann, Patrick; Ibanez, Vanessa; </w:t>
      </w:r>
      <w:proofErr w:type="spellStart"/>
      <w:r w:rsidRPr="00C16878">
        <w:rPr>
          <w:rFonts w:eastAsia="Times New Roman" w:cs="Times New Roman"/>
          <w:color w:val="212121"/>
        </w:rPr>
        <w:t>Sainz</w:t>
      </w:r>
      <w:proofErr w:type="spellEnd"/>
      <w:r w:rsidRPr="00C16878">
        <w:rPr>
          <w:rFonts w:eastAsia="Times New Roman" w:cs="Times New Roman"/>
          <w:color w:val="212121"/>
        </w:rPr>
        <w:t xml:space="preserve">, F. Javier </w:t>
      </w:r>
      <w:proofErr w:type="spellStart"/>
      <w:r w:rsidRPr="00C16878">
        <w:rPr>
          <w:rFonts w:eastAsia="Times New Roman" w:cs="Times New Roman"/>
          <w:color w:val="212121"/>
        </w:rPr>
        <w:t>Forcada</w:t>
      </w:r>
      <w:proofErr w:type="spellEnd"/>
      <w:r w:rsidRPr="00C16878">
        <w:rPr>
          <w:rFonts w:eastAsia="Times New Roman" w:cs="Times New Roman"/>
          <w:color w:val="212121"/>
        </w:rPr>
        <w:t>.</w:t>
      </w:r>
      <w:proofErr w:type="gramEnd"/>
      <w:r w:rsidRPr="00C16878">
        <w:rPr>
          <w:rFonts w:eastAsia="Times New Roman" w:cs="Times New Roman"/>
          <w:color w:val="212121"/>
        </w:rPr>
        <w:t xml:space="preserve"> "Green Branding Effects of Attitude: Functional Versus Emotional Positioning Strategies". </w:t>
      </w:r>
      <w:r w:rsidRPr="00C16878">
        <w:rPr>
          <w:rFonts w:eastAsia="Times New Roman" w:cs="Times New Roman"/>
          <w:i/>
          <w:color w:val="212121"/>
        </w:rPr>
        <w:t>Marketing Intelligence &amp; Planning</w:t>
      </w:r>
      <w:r w:rsidRPr="00C16878">
        <w:rPr>
          <w:rFonts w:eastAsia="Times New Roman" w:cs="Times New Roman"/>
          <w:color w:val="212121"/>
        </w:rPr>
        <w:t xml:space="preserve">. 2005. Web </w:t>
      </w:r>
    </w:p>
    <w:p w14:paraId="6D0A7F29"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
    <w:p w14:paraId="46BD3D28" w14:textId="77777777" w:rsidR="007926A5" w:rsidRPr="00684134" w:rsidRDefault="007926A5" w:rsidP="007926A5">
      <w:pPr>
        <w:ind w:left="720" w:hanging="720"/>
        <w:rPr>
          <w:rFonts w:ascii="Times" w:hAnsi="Times"/>
        </w:rPr>
      </w:pPr>
      <w:r w:rsidRPr="00684134">
        <w:rPr>
          <w:rFonts w:ascii="Times" w:hAnsi="Times"/>
        </w:rPr>
        <w:t xml:space="preserve">Head, Lee Ann. “Millennials are Greener! Really?” </w:t>
      </w:r>
      <w:r w:rsidRPr="00684134">
        <w:rPr>
          <w:rFonts w:ascii="Times" w:hAnsi="Times"/>
          <w:i/>
        </w:rPr>
        <w:t>Shelton Group</w:t>
      </w:r>
      <w:r w:rsidRPr="00684134">
        <w:rPr>
          <w:rFonts w:ascii="Times" w:hAnsi="Times"/>
        </w:rPr>
        <w:t xml:space="preserve"> 2013. Web.</w:t>
      </w:r>
    </w:p>
    <w:p w14:paraId="64E00BB5" w14:textId="77777777" w:rsidR="007926A5" w:rsidRPr="00684134" w:rsidRDefault="007926A5" w:rsidP="007926A5">
      <w:pPr>
        <w:ind w:left="720" w:hanging="720"/>
        <w:rPr>
          <w:rFonts w:ascii="Times" w:hAnsi="Times"/>
        </w:rPr>
      </w:pPr>
    </w:p>
    <w:p w14:paraId="022E1957" w14:textId="77777777" w:rsidR="007926A5" w:rsidRPr="00684134" w:rsidRDefault="007926A5" w:rsidP="007926A5">
      <w:pPr>
        <w:ind w:left="720" w:hanging="720"/>
        <w:rPr>
          <w:rFonts w:ascii="Times" w:hAnsi="Times"/>
        </w:rPr>
      </w:pPr>
      <w:r w:rsidRPr="00684134">
        <w:rPr>
          <w:rFonts w:ascii="Times" w:hAnsi="Times"/>
        </w:rPr>
        <w:t xml:space="preserve">Lu, Leslie, Dora Block and Mathew Joseph. “Green Marketing: what the Millennials buy.” </w:t>
      </w:r>
      <w:r w:rsidRPr="00684134">
        <w:rPr>
          <w:rFonts w:ascii="Times" w:hAnsi="Times"/>
          <w:i/>
        </w:rPr>
        <w:t>Journal of Business Strategy</w:t>
      </w:r>
      <w:r w:rsidRPr="00684134">
        <w:rPr>
          <w:rFonts w:ascii="Times" w:hAnsi="Times"/>
        </w:rPr>
        <w:t xml:space="preserve"> 34.6 2013: 3-10. Web.</w:t>
      </w:r>
    </w:p>
    <w:p w14:paraId="3D8ED860" w14:textId="77777777" w:rsidR="007926A5" w:rsidRPr="00684134" w:rsidRDefault="007926A5" w:rsidP="007926A5">
      <w:pPr>
        <w:ind w:left="720" w:hanging="720"/>
        <w:rPr>
          <w:rFonts w:ascii="Times" w:hAnsi="Times"/>
        </w:rPr>
      </w:pPr>
    </w:p>
    <w:p w14:paraId="2C0FB671" w14:textId="77777777" w:rsidR="007926A5" w:rsidRDefault="007926A5" w:rsidP="007926A5">
      <w:pPr>
        <w:ind w:left="720" w:hanging="720"/>
        <w:rPr>
          <w:rFonts w:ascii="Times" w:hAnsi="Times" w:cs="Times New Roman"/>
        </w:rPr>
      </w:pPr>
      <w:proofErr w:type="spellStart"/>
      <w:r w:rsidRPr="00684134">
        <w:rPr>
          <w:rFonts w:ascii="Times" w:hAnsi="Times" w:cs="Times New Roman"/>
        </w:rPr>
        <w:t>Mainieri</w:t>
      </w:r>
      <w:proofErr w:type="spellEnd"/>
      <w:r w:rsidRPr="00684134">
        <w:rPr>
          <w:rFonts w:ascii="Times" w:hAnsi="Times" w:cs="Times New Roman"/>
        </w:rPr>
        <w:t xml:space="preserve">, Tina Elaine G. Barnett, Trisha R. </w:t>
      </w:r>
      <w:proofErr w:type="spellStart"/>
      <w:r w:rsidRPr="00684134">
        <w:rPr>
          <w:rFonts w:ascii="Times" w:hAnsi="Times" w:cs="Times New Roman"/>
        </w:rPr>
        <w:t>Valdero</w:t>
      </w:r>
      <w:proofErr w:type="spellEnd"/>
      <w:r w:rsidRPr="00684134">
        <w:rPr>
          <w:rFonts w:ascii="Times" w:hAnsi="Times" w:cs="Times New Roman"/>
        </w:rPr>
        <w:t xml:space="preserve">, John B. </w:t>
      </w:r>
      <w:proofErr w:type="spellStart"/>
      <w:r w:rsidRPr="00684134">
        <w:rPr>
          <w:rFonts w:ascii="Times" w:hAnsi="Times" w:cs="Times New Roman"/>
        </w:rPr>
        <w:t>Unipan</w:t>
      </w:r>
      <w:proofErr w:type="spellEnd"/>
      <w:r w:rsidRPr="00684134">
        <w:rPr>
          <w:rFonts w:ascii="Times" w:hAnsi="Times" w:cs="Times New Roman"/>
        </w:rPr>
        <w:t xml:space="preserve">, Stuart </w:t>
      </w:r>
      <w:proofErr w:type="spellStart"/>
      <w:r w:rsidRPr="00684134">
        <w:rPr>
          <w:rFonts w:ascii="Times" w:hAnsi="Times" w:cs="Times New Roman"/>
        </w:rPr>
        <w:t>Oskamp</w:t>
      </w:r>
      <w:proofErr w:type="spellEnd"/>
      <w:r w:rsidRPr="00684134">
        <w:rPr>
          <w:rFonts w:ascii="Times" w:hAnsi="Times" w:cs="Times New Roman"/>
        </w:rPr>
        <w:t>. "</w:t>
      </w:r>
      <w:r w:rsidRPr="00684134">
        <w:rPr>
          <w:rFonts w:ascii="Times" w:hAnsi="Times" w:cs="Times New Roman"/>
          <w:bCs/>
        </w:rPr>
        <w:t>Green Buying: The Influence of Environmental Concern on Consumer Behavior</w:t>
      </w:r>
      <w:r w:rsidRPr="00684134">
        <w:rPr>
          <w:rFonts w:ascii="Times" w:hAnsi="Times" w:cs="Times New Roman"/>
        </w:rPr>
        <w:t xml:space="preserve">." </w:t>
      </w:r>
      <w:proofErr w:type="gramStart"/>
      <w:r w:rsidRPr="00684134">
        <w:rPr>
          <w:rFonts w:ascii="Times" w:hAnsi="Times" w:cs="Times New Roman"/>
          <w:i/>
          <w:iCs/>
        </w:rPr>
        <w:t>The Journal of Social Psychology</w:t>
      </w:r>
      <w:r w:rsidRPr="00684134">
        <w:rPr>
          <w:rFonts w:ascii="Times" w:hAnsi="Times" w:cs="Times New Roman"/>
        </w:rPr>
        <w:t xml:space="preserve"> 137.2 (1997).</w:t>
      </w:r>
      <w:proofErr w:type="gramEnd"/>
      <w:r w:rsidRPr="00684134">
        <w:rPr>
          <w:rFonts w:ascii="Times" w:hAnsi="Times" w:cs="Times New Roman"/>
        </w:rPr>
        <w:t xml:space="preserve"> Web.</w:t>
      </w:r>
    </w:p>
    <w:p w14:paraId="71D6D62E" w14:textId="77777777" w:rsidR="007926A5" w:rsidRDefault="007926A5" w:rsidP="007926A5">
      <w:pPr>
        <w:ind w:left="720" w:hanging="720"/>
        <w:rPr>
          <w:rFonts w:ascii="Times" w:hAnsi="Times" w:cs="Times New Roman"/>
        </w:rPr>
      </w:pPr>
    </w:p>
    <w:p w14:paraId="1236E0B6" w14:textId="045BA02C" w:rsidR="007926A5" w:rsidRDefault="007926A5" w:rsidP="007926A5">
      <w:pPr>
        <w:shd w:val="clear" w:color="auto" w:fill="FFFFFF"/>
        <w:ind w:left="720" w:hanging="720"/>
        <w:rPr>
          <w:rFonts w:eastAsia="Times New Roman" w:cs="Times New Roman"/>
          <w:color w:val="212121"/>
        </w:rPr>
      </w:pPr>
      <w:r w:rsidRPr="00C16878">
        <w:rPr>
          <w:rFonts w:eastAsia="Times New Roman" w:cs="Times New Roman"/>
          <w:color w:val="212121"/>
        </w:rPr>
        <w:t xml:space="preserve">Maynard, </w:t>
      </w:r>
      <w:proofErr w:type="spellStart"/>
      <w:r w:rsidRPr="00C16878">
        <w:rPr>
          <w:rFonts w:eastAsia="Times New Roman" w:cs="Times New Roman"/>
          <w:color w:val="212121"/>
        </w:rPr>
        <w:t>Micheline</w:t>
      </w:r>
      <w:proofErr w:type="spellEnd"/>
      <w:r w:rsidRPr="00C16878">
        <w:rPr>
          <w:rFonts w:eastAsia="Times New Roman" w:cs="Times New Roman"/>
          <w:color w:val="212121"/>
        </w:rPr>
        <w:t>. "Say "Hybrid" and Many People Will Hear "</w:t>
      </w:r>
      <w:proofErr w:type="spellStart"/>
      <w:r w:rsidRPr="00C16878">
        <w:rPr>
          <w:rFonts w:eastAsia="Times New Roman" w:cs="Times New Roman"/>
          <w:color w:val="212121"/>
        </w:rPr>
        <w:t>Prius</w:t>
      </w:r>
      <w:proofErr w:type="spellEnd"/>
      <w:r w:rsidRPr="00C16878">
        <w:rPr>
          <w:rFonts w:eastAsia="Times New Roman" w:cs="Times New Roman"/>
          <w:color w:val="212121"/>
        </w:rPr>
        <w:t xml:space="preserve">". </w:t>
      </w:r>
      <w:proofErr w:type="gramStart"/>
      <w:r w:rsidRPr="00C16878">
        <w:rPr>
          <w:rFonts w:eastAsia="Times New Roman" w:cs="Times New Roman"/>
          <w:i/>
          <w:color w:val="212121"/>
        </w:rPr>
        <w:t>New York Times</w:t>
      </w:r>
      <w:r w:rsidRPr="00C16878">
        <w:rPr>
          <w:rFonts w:eastAsia="Times New Roman" w:cs="Times New Roman"/>
          <w:color w:val="212121"/>
        </w:rPr>
        <w:t>.</w:t>
      </w:r>
      <w:proofErr w:type="gramEnd"/>
      <w:r w:rsidRPr="00C16878">
        <w:rPr>
          <w:rFonts w:eastAsia="Times New Roman" w:cs="Times New Roman"/>
          <w:color w:val="212121"/>
        </w:rPr>
        <w:t xml:space="preserve"> 07/04/2007. </w:t>
      </w:r>
      <w:r>
        <w:rPr>
          <w:rFonts w:eastAsia="Times New Roman" w:cs="Times New Roman"/>
          <w:color w:val="212121"/>
        </w:rPr>
        <w:t xml:space="preserve">Web. </w:t>
      </w:r>
    </w:p>
    <w:p w14:paraId="4A1C6BAF" w14:textId="77777777" w:rsidR="007926A5" w:rsidRPr="007926A5" w:rsidRDefault="007926A5" w:rsidP="007926A5">
      <w:pPr>
        <w:shd w:val="clear" w:color="auto" w:fill="FFFFFF"/>
        <w:ind w:left="720" w:hanging="720"/>
        <w:rPr>
          <w:rFonts w:eastAsia="Times New Roman" w:cs="Times New Roman"/>
          <w:color w:val="212121"/>
        </w:rPr>
      </w:pPr>
    </w:p>
    <w:p w14:paraId="5E575971"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spellStart"/>
      <w:r w:rsidRPr="00684134">
        <w:rPr>
          <w:rFonts w:ascii="Times" w:hAnsi="Times" w:cs="Times New Roman"/>
        </w:rPr>
        <w:t>Nidumolu</w:t>
      </w:r>
      <w:proofErr w:type="spellEnd"/>
      <w:r w:rsidRPr="00684134">
        <w:rPr>
          <w:rFonts w:ascii="Times" w:hAnsi="Times" w:cs="Times New Roman"/>
        </w:rPr>
        <w:t xml:space="preserve">, Ram, C. K. </w:t>
      </w:r>
      <w:proofErr w:type="spellStart"/>
      <w:r w:rsidRPr="00684134">
        <w:rPr>
          <w:rFonts w:ascii="Times" w:hAnsi="Times" w:cs="Times New Roman"/>
        </w:rPr>
        <w:t>Prahalad</w:t>
      </w:r>
      <w:proofErr w:type="spellEnd"/>
      <w:r w:rsidRPr="00684134">
        <w:rPr>
          <w:rFonts w:ascii="Times" w:hAnsi="Times" w:cs="Times New Roman"/>
        </w:rPr>
        <w:t xml:space="preserve">, and M. R. </w:t>
      </w:r>
      <w:proofErr w:type="spellStart"/>
      <w:r w:rsidRPr="00684134">
        <w:rPr>
          <w:rFonts w:ascii="Times" w:hAnsi="Times" w:cs="Times New Roman"/>
        </w:rPr>
        <w:t>Rangaswami</w:t>
      </w:r>
      <w:proofErr w:type="spellEnd"/>
      <w:r w:rsidRPr="00684134">
        <w:rPr>
          <w:rFonts w:ascii="Times" w:hAnsi="Times" w:cs="Times New Roman"/>
        </w:rPr>
        <w:t xml:space="preserve">. "WHY SUSTAINABILITY IS NOW THE KEY DRIVER OF INNOVATION. (Cover Story)." </w:t>
      </w:r>
      <w:proofErr w:type="gramStart"/>
      <w:r w:rsidRPr="00684134">
        <w:rPr>
          <w:rFonts w:ascii="Times" w:hAnsi="Times" w:cs="Times New Roman"/>
          <w:i/>
          <w:iCs/>
        </w:rPr>
        <w:t>Harvard business review</w:t>
      </w:r>
      <w:r w:rsidRPr="00684134">
        <w:rPr>
          <w:rFonts w:ascii="Times" w:hAnsi="Times" w:cs="Times New Roman"/>
        </w:rPr>
        <w:t xml:space="preserve"> 87.9 (2009): 56-64.</w:t>
      </w:r>
      <w:proofErr w:type="gramEnd"/>
      <w:r w:rsidRPr="00684134">
        <w:rPr>
          <w:rFonts w:ascii="Times" w:hAnsi="Times" w:cs="Times New Roman"/>
        </w:rPr>
        <w:t xml:space="preserve"> Web.</w:t>
      </w:r>
    </w:p>
    <w:p w14:paraId="580F2E26"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r w:rsidRPr="00684134">
        <w:rPr>
          <w:rFonts w:ascii="Times" w:hAnsi="Times" w:cs="Times New Roman"/>
        </w:rPr>
        <w:t xml:space="preserve">Porter, Michael E., and Mark R. Kramer. "Creating Shared Value." </w:t>
      </w:r>
      <w:proofErr w:type="gramStart"/>
      <w:r w:rsidRPr="00684134">
        <w:rPr>
          <w:rFonts w:ascii="Times" w:hAnsi="Times" w:cs="Times New Roman"/>
          <w:i/>
          <w:iCs/>
        </w:rPr>
        <w:t>Harvard business review</w:t>
      </w:r>
      <w:r w:rsidRPr="00684134">
        <w:rPr>
          <w:rFonts w:ascii="Times" w:hAnsi="Times" w:cs="Times New Roman"/>
        </w:rPr>
        <w:t xml:space="preserve"> 89.1 (2011): 62-77.</w:t>
      </w:r>
      <w:proofErr w:type="gramEnd"/>
      <w:r w:rsidRPr="00684134">
        <w:rPr>
          <w:rFonts w:ascii="Times" w:hAnsi="Times" w:cs="Times New Roman"/>
        </w:rPr>
        <w:t xml:space="preserve"> Web.</w:t>
      </w:r>
    </w:p>
    <w:p w14:paraId="596A496F"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r w:rsidRPr="00684134">
        <w:rPr>
          <w:rFonts w:ascii="Times" w:hAnsi="Times" w:cs="Times New Roman"/>
        </w:rPr>
        <w:t xml:space="preserve">Rajput, </w:t>
      </w:r>
      <w:proofErr w:type="spellStart"/>
      <w:r w:rsidRPr="00684134">
        <w:rPr>
          <w:rFonts w:ascii="Times" w:hAnsi="Times" w:cs="Times New Roman"/>
        </w:rPr>
        <w:t>Namita</w:t>
      </w:r>
      <w:proofErr w:type="spellEnd"/>
      <w:r w:rsidRPr="00684134">
        <w:rPr>
          <w:rFonts w:ascii="Times" w:hAnsi="Times" w:cs="Times New Roman"/>
        </w:rPr>
        <w:t xml:space="preserve">, </w:t>
      </w:r>
      <w:proofErr w:type="spellStart"/>
      <w:r w:rsidRPr="00684134">
        <w:rPr>
          <w:rFonts w:ascii="Times" w:hAnsi="Times" w:cs="Times New Roman"/>
        </w:rPr>
        <w:t>Preeti</w:t>
      </w:r>
      <w:proofErr w:type="spellEnd"/>
      <w:r w:rsidRPr="00684134">
        <w:rPr>
          <w:rFonts w:ascii="Times" w:hAnsi="Times" w:cs="Times New Roman"/>
        </w:rPr>
        <w:t xml:space="preserve"> Bajaj, </w:t>
      </w:r>
      <w:proofErr w:type="spellStart"/>
      <w:r w:rsidRPr="00684134">
        <w:rPr>
          <w:rFonts w:ascii="Times" w:hAnsi="Times" w:cs="Times New Roman"/>
        </w:rPr>
        <w:t>Geetanjali</w:t>
      </w:r>
      <w:proofErr w:type="spellEnd"/>
      <w:r w:rsidRPr="00684134">
        <w:rPr>
          <w:rFonts w:ascii="Times" w:hAnsi="Times" w:cs="Times New Roman"/>
        </w:rPr>
        <w:t xml:space="preserve"> </w:t>
      </w:r>
      <w:proofErr w:type="spellStart"/>
      <w:r w:rsidRPr="00684134">
        <w:rPr>
          <w:rFonts w:ascii="Times" w:hAnsi="Times" w:cs="Times New Roman"/>
        </w:rPr>
        <w:t>Batra</w:t>
      </w:r>
      <w:proofErr w:type="spellEnd"/>
      <w:r w:rsidRPr="00684134">
        <w:rPr>
          <w:rFonts w:ascii="Times" w:hAnsi="Times" w:cs="Times New Roman"/>
        </w:rPr>
        <w:t xml:space="preserve">. "Environmentally Conscious Consumer Behavior: An Empirical Study." </w:t>
      </w:r>
      <w:r w:rsidRPr="00684134">
        <w:rPr>
          <w:rFonts w:ascii="Times" w:hAnsi="Times" w:cs="Times New Roman"/>
          <w:i/>
          <w:iCs/>
        </w:rPr>
        <w:t xml:space="preserve">The International Journal's Research Journal of Commerce &amp; </w:t>
      </w:r>
      <w:proofErr w:type="spellStart"/>
      <w:r w:rsidRPr="00684134">
        <w:rPr>
          <w:rFonts w:ascii="Times" w:hAnsi="Times" w:cs="Times New Roman"/>
          <w:i/>
          <w:iCs/>
        </w:rPr>
        <w:t>Behavioural</w:t>
      </w:r>
      <w:proofErr w:type="spellEnd"/>
      <w:r w:rsidRPr="00684134">
        <w:rPr>
          <w:rFonts w:ascii="Times" w:hAnsi="Times" w:cs="Times New Roman"/>
          <w:i/>
          <w:iCs/>
        </w:rPr>
        <w:t xml:space="preserve"> Science</w:t>
      </w:r>
      <w:r w:rsidRPr="00684134">
        <w:rPr>
          <w:rFonts w:ascii="Times" w:hAnsi="Times" w:cs="Times New Roman"/>
        </w:rPr>
        <w:t xml:space="preserve"> 2.1 (2012): 20-36. Web. </w:t>
      </w:r>
    </w:p>
    <w:p w14:paraId="5D901B29"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spellStart"/>
      <w:proofErr w:type="gramStart"/>
      <w:r w:rsidRPr="00684134">
        <w:rPr>
          <w:rFonts w:ascii="Times" w:hAnsi="Times" w:cs="Times New Roman"/>
        </w:rPr>
        <w:t>Sarumathi</w:t>
      </w:r>
      <w:proofErr w:type="spellEnd"/>
      <w:r w:rsidRPr="00684134">
        <w:rPr>
          <w:rFonts w:ascii="Times" w:hAnsi="Times" w:cs="Times New Roman"/>
        </w:rPr>
        <w:t>, S.</w:t>
      </w:r>
      <w:proofErr w:type="gramEnd"/>
      <w:r w:rsidRPr="00684134">
        <w:rPr>
          <w:rFonts w:ascii="Times" w:hAnsi="Times" w:cs="Times New Roman"/>
        </w:rPr>
        <w:t xml:space="preserve">  "Green Purchase Behavior–A Conceptual Framework of  Socially Conscious Consumer Behavior." </w:t>
      </w:r>
      <w:r w:rsidRPr="00684134">
        <w:rPr>
          <w:rFonts w:ascii="Times" w:hAnsi="Times" w:cs="Times New Roman"/>
          <w:i/>
          <w:iCs/>
        </w:rPr>
        <w:t>Global Journal of Finance and Management</w:t>
      </w:r>
      <w:r w:rsidRPr="00684134">
        <w:rPr>
          <w:rFonts w:ascii="Times" w:hAnsi="Times" w:cs="Times New Roman"/>
        </w:rPr>
        <w:t xml:space="preserve"> 6.8 (2014): pp. 777. Web.  </w:t>
      </w:r>
    </w:p>
    <w:p w14:paraId="7C6EED0D"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spellStart"/>
      <w:r w:rsidRPr="00684134">
        <w:rPr>
          <w:rFonts w:ascii="Times" w:hAnsi="Times" w:cs="Times New Roman"/>
        </w:rPr>
        <w:t>Shrum</w:t>
      </w:r>
      <w:proofErr w:type="spellEnd"/>
      <w:r w:rsidRPr="00684134">
        <w:rPr>
          <w:rFonts w:ascii="Times" w:hAnsi="Times" w:cs="Times New Roman"/>
        </w:rPr>
        <w:t xml:space="preserve">, L. J., John A. McCarty and Tina M. </w:t>
      </w:r>
      <w:proofErr w:type="spellStart"/>
      <w:r w:rsidRPr="00684134">
        <w:rPr>
          <w:rFonts w:ascii="Times" w:hAnsi="Times" w:cs="Times New Roman"/>
        </w:rPr>
        <w:t>Lowrey</w:t>
      </w:r>
      <w:proofErr w:type="spellEnd"/>
      <w:r w:rsidRPr="00684134">
        <w:rPr>
          <w:rFonts w:ascii="Times" w:hAnsi="Times" w:cs="Times New Roman"/>
        </w:rPr>
        <w:t>. "</w:t>
      </w:r>
      <w:r w:rsidRPr="00684134">
        <w:rPr>
          <w:rFonts w:ascii="Times" w:hAnsi="Times" w:cs="Times New Roman"/>
          <w:bCs/>
        </w:rPr>
        <w:t>Buyer Characteristics of the Green Consumer and their Implications for Advertising Strategy</w:t>
      </w:r>
      <w:r w:rsidRPr="00684134">
        <w:rPr>
          <w:rFonts w:ascii="Times" w:hAnsi="Times" w:cs="Times New Roman"/>
        </w:rPr>
        <w:t xml:space="preserve">." </w:t>
      </w:r>
      <w:r w:rsidRPr="00684134">
        <w:rPr>
          <w:rFonts w:ascii="Times" w:hAnsi="Times" w:cs="Times New Roman"/>
          <w:i/>
          <w:iCs/>
        </w:rPr>
        <w:t>Journal of Advertising</w:t>
      </w:r>
      <w:r w:rsidRPr="00684134">
        <w:rPr>
          <w:rFonts w:ascii="Times" w:hAnsi="Times" w:cs="Times New Roman"/>
        </w:rPr>
        <w:t xml:space="preserve"> Vol. 24.No. 2 (1995): pp. 71-82. Web. </w:t>
      </w:r>
    </w:p>
    <w:p w14:paraId="468900E9" w14:textId="77777777" w:rsidR="007926A5" w:rsidRDefault="007926A5" w:rsidP="007926A5">
      <w:pPr>
        <w:ind w:left="720" w:hanging="720"/>
        <w:rPr>
          <w:rFonts w:ascii="Times" w:hAnsi="Times"/>
        </w:rPr>
      </w:pPr>
      <w:r w:rsidRPr="00684134">
        <w:rPr>
          <w:rFonts w:ascii="Times" w:hAnsi="Times"/>
        </w:rPr>
        <w:t xml:space="preserve">Smith, Katherine Taken and Tracy R. Brower. “Longitudinal study of green marketing strategies that influence Millennials.” </w:t>
      </w:r>
      <w:r w:rsidRPr="00684134">
        <w:rPr>
          <w:rFonts w:ascii="Times" w:hAnsi="Times"/>
          <w:i/>
        </w:rPr>
        <w:t>Journal of Strategic Marketing</w:t>
      </w:r>
      <w:r w:rsidRPr="00684134">
        <w:rPr>
          <w:rFonts w:ascii="Times" w:hAnsi="Times"/>
        </w:rPr>
        <w:t xml:space="preserve"> 20.6 2012: 535-551. Web.</w:t>
      </w:r>
    </w:p>
    <w:p w14:paraId="10F4C7C9" w14:textId="77777777" w:rsidR="007926A5" w:rsidRPr="00684134" w:rsidRDefault="007926A5" w:rsidP="007926A5">
      <w:pPr>
        <w:ind w:left="720" w:hanging="720"/>
        <w:rPr>
          <w:rFonts w:ascii="Times" w:hAnsi="Times"/>
        </w:rPr>
      </w:pPr>
    </w:p>
    <w:p w14:paraId="19A11508"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proofErr w:type="gramStart"/>
      <w:r w:rsidRPr="00684134">
        <w:rPr>
          <w:rFonts w:ascii="Times" w:hAnsi="Times" w:cs="Times New Roman"/>
          <w:i/>
          <w:iCs/>
        </w:rPr>
        <w:t>The "Six Sins of Greenwashing TM"</w:t>
      </w:r>
      <w:r w:rsidRPr="00684134">
        <w:rPr>
          <w:rFonts w:ascii="Times" w:hAnsi="Times" w:cs="Times New Roman"/>
        </w:rPr>
        <w:t>.</w:t>
      </w:r>
      <w:proofErr w:type="gramEnd"/>
      <w:r w:rsidRPr="00684134">
        <w:rPr>
          <w:rFonts w:ascii="Times" w:hAnsi="Times" w:cs="Times New Roman"/>
        </w:rPr>
        <w:t xml:space="preserve"> </w:t>
      </w:r>
      <w:proofErr w:type="spellStart"/>
      <w:proofErr w:type="gramStart"/>
      <w:r w:rsidRPr="00684134">
        <w:rPr>
          <w:rFonts w:ascii="Times" w:hAnsi="Times" w:cs="Times New Roman"/>
        </w:rPr>
        <w:t>terrachoice</w:t>
      </w:r>
      <w:proofErr w:type="spellEnd"/>
      <w:proofErr w:type="gramEnd"/>
      <w:r w:rsidRPr="00684134">
        <w:rPr>
          <w:rFonts w:ascii="Times" w:hAnsi="Times" w:cs="Times New Roman"/>
        </w:rPr>
        <w:t xml:space="preserve"> environmental marketing, 2007. Web. </w:t>
      </w:r>
    </w:p>
    <w:p w14:paraId="53B0916C" w14:textId="77777777" w:rsidR="007926A5" w:rsidRPr="00684134" w:rsidRDefault="007926A5" w:rsidP="007926A5">
      <w:pPr>
        <w:widowControl w:val="0"/>
        <w:autoSpaceDE w:val="0"/>
        <w:autoSpaceDN w:val="0"/>
        <w:adjustRightInd w:val="0"/>
        <w:spacing w:after="240"/>
        <w:ind w:left="720" w:hanging="720"/>
        <w:rPr>
          <w:rFonts w:ascii="Times" w:hAnsi="Times" w:cs="Times New Roman"/>
        </w:rPr>
      </w:pPr>
      <w:r w:rsidRPr="00684134">
        <w:rPr>
          <w:rFonts w:ascii="Times" w:hAnsi="Times" w:cs="Times New Roman"/>
        </w:rPr>
        <w:t xml:space="preserve">Turner, Robert. </w:t>
      </w:r>
      <w:r w:rsidRPr="00684134">
        <w:rPr>
          <w:rFonts w:ascii="Times" w:hAnsi="Times" w:cs="Times New Roman"/>
          <w:i/>
          <w:iCs/>
        </w:rPr>
        <w:t>GO</w:t>
      </w:r>
      <w:proofErr w:type="gramStart"/>
      <w:r w:rsidRPr="00684134">
        <w:rPr>
          <w:rFonts w:ascii="Times" w:hAnsi="Times" w:cs="Times New Roman"/>
          <w:i/>
          <w:iCs/>
        </w:rPr>
        <w:t>:231</w:t>
      </w:r>
      <w:proofErr w:type="gramEnd"/>
      <w:r w:rsidRPr="00684134">
        <w:rPr>
          <w:rFonts w:ascii="Times" w:hAnsi="Times" w:cs="Times New Roman"/>
          <w:i/>
          <w:iCs/>
        </w:rPr>
        <w:t xml:space="preserve"> Environmental Politics and Policy</w:t>
      </w:r>
      <w:r w:rsidRPr="00684134">
        <w:rPr>
          <w:rFonts w:ascii="Times" w:hAnsi="Times" w:cs="Times New Roman"/>
        </w:rPr>
        <w:t>. Lecture. Skidmore College</w:t>
      </w:r>
      <w:proofErr w:type="gramStart"/>
      <w:r w:rsidRPr="00684134">
        <w:rPr>
          <w:rFonts w:ascii="Times" w:hAnsi="Times" w:cs="Times New Roman"/>
        </w:rPr>
        <w:t>:,</w:t>
      </w:r>
      <w:proofErr w:type="gramEnd"/>
      <w:r w:rsidRPr="00684134">
        <w:rPr>
          <w:rFonts w:ascii="Times" w:hAnsi="Times" w:cs="Times New Roman"/>
        </w:rPr>
        <w:t xml:space="preserve"> 2012. </w:t>
      </w:r>
    </w:p>
    <w:p w14:paraId="37C7BAF2" w14:textId="77777777" w:rsidR="007926A5" w:rsidRPr="00684134" w:rsidRDefault="007926A5" w:rsidP="007926A5">
      <w:pPr>
        <w:ind w:left="720" w:hanging="720"/>
        <w:rPr>
          <w:rFonts w:ascii="Times" w:hAnsi="Times"/>
        </w:rPr>
      </w:pPr>
      <w:proofErr w:type="gramStart"/>
      <w:r w:rsidRPr="00684134">
        <w:rPr>
          <w:rFonts w:ascii="Times" w:hAnsi="Times"/>
        </w:rPr>
        <w:t xml:space="preserve">Vermillion, Leslie J and Justin </w:t>
      </w:r>
      <w:proofErr w:type="spellStart"/>
      <w:r w:rsidRPr="00684134">
        <w:rPr>
          <w:rFonts w:ascii="Times" w:hAnsi="Times"/>
        </w:rPr>
        <w:t>Peart</w:t>
      </w:r>
      <w:proofErr w:type="spellEnd"/>
      <w:r w:rsidRPr="00684134">
        <w:rPr>
          <w:rFonts w:ascii="Times" w:hAnsi="Times"/>
        </w:rPr>
        <w:t>.</w:t>
      </w:r>
      <w:proofErr w:type="gramEnd"/>
      <w:r w:rsidRPr="00684134">
        <w:rPr>
          <w:rFonts w:ascii="Times" w:hAnsi="Times"/>
        </w:rPr>
        <w:t xml:space="preserve"> “Green Marketing: Making Sense of the Situation.” </w:t>
      </w:r>
      <w:r w:rsidRPr="00684134">
        <w:rPr>
          <w:rFonts w:ascii="Times" w:hAnsi="Times"/>
          <w:i/>
        </w:rPr>
        <w:t>Proceedings of the Academy of Marketing Studies</w:t>
      </w:r>
      <w:r w:rsidRPr="00684134">
        <w:rPr>
          <w:rFonts w:ascii="Times" w:hAnsi="Times"/>
        </w:rPr>
        <w:t xml:space="preserve"> 15.1 2010: 68-72. Web.</w:t>
      </w:r>
    </w:p>
    <w:p w14:paraId="68855EA8" w14:textId="5F8D3CA4" w:rsidR="00D07227" w:rsidRDefault="00D07227">
      <w:pPr>
        <w:rPr>
          <w:rFonts w:cs="Times New Roman"/>
          <w:b/>
          <w:color w:val="000000"/>
        </w:rPr>
      </w:pPr>
      <w:r>
        <w:rPr>
          <w:rFonts w:cs="Times New Roman"/>
          <w:b/>
          <w:color w:val="000000"/>
        </w:rPr>
        <w:br w:type="page"/>
      </w:r>
    </w:p>
    <w:p w14:paraId="36FF7B72" w14:textId="77777777" w:rsidR="00D07227" w:rsidRDefault="00D07227" w:rsidP="00D07227">
      <w:r>
        <w:rPr>
          <w:b/>
        </w:rPr>
        <w:t>APPENDIX 1: FIGURES</w:t>
      </w:r>
    </w:p>
    <w:p w14:paraId="022F8994" w14:textId="77777777" w:rsidR="00D07227" w:rsidRDefault="00D07227" w:rsidP="00D07227"/>
    <w:tbl>
      <w:tblPr>
        <w:tblStyle w:val="TableGrid"/>
        <w:tblW w:w="0" w:type="auto"/>
        <w:tblLook w:val="04A0" w:firstRow="1" w:lastRow="0" w:firstColumn="1" w:lastColumn="0" w:noHBand="0" w:noVBand="1"/>
      </w:tblPr>
      <w:tblGrid>
        <w:gridCol w:w="8572"/>
      </w:tblGrid>
      <w:tr w:rsidR="00D07227" w14:paraId="28A2A117" w14:textId="77777777" w:rsidTr="00693273">
        <w:trPr>
          <w:trHeight w:val="365"/>
        </w:trPr>
        <w:tc>
          <w:tcPr>
            <w:tcW w:w="8572" w:type="dxa"/>
          </w:tcPr>
          <w:p w14:paraId="74BD98FA" w14:textId="77777777" w:rsidR="00D07227" w:rsidRPr="008908CC" w:rsidRDefault="00D07227" w:rsidP="00693273">
            <w:r>
              <w:t>Figure 1: Example Filler Question</w:t>
            </w:r>
          </w:p>
        </w:tc>
      </w:tr>
      <w:tr w:rsidR="00D07227" w14:paraId="58F86737" w14:textId="77777777" w:rsidTr="00693273">
        <w:trPr>
          <w:trHeight w:val="5366"/>
        </w:trPr>
        <w:tc>
          <w:tcPr>
            <w:tcW w:w="8572" w:type="dxa"/>
          </w:tcPr>
          <w:p w14:paraId="020AB9EA" w14:textId="77777777" w:rsidR="00D07227" w:rsidRDefault="00D07227" w:rsidP="00693273">
            <w:pPr>
              <w:jc w:val="center"/>
              <w:rPr>
                <w:b/>
              </w:rPr>
            </w:pPr>
          </w:p>
          <w:p w14:paraId="708AEF37" w14:textId="77777777" w:rsidR="00D07227" w:rsidRPr="008908CC" w:rsidRDefault="00D07227" w:rsidP="00693273">
            <w:pPr>
              <w:jc w:val="center"/>
              <w:rPr>
                <w:i/>
              </w:rPr>
            </w:pPr>
            <w:r>
              <w:rPr>
                <w:i/>
              </w:rPr>
              <w:t>“I can identify the brand associated with this logo:”</w:t>
            </w:r>
          </w:p>
          <w:p w14:paraId="1D080D71" w14:textId="77777777" w:rsidR="00D07227" w:rsidRDefault="00D07227" w:rsidP="00693273">
            <w:pPr>
              <w:jc w:val="center"/>
              <w:rPr>
                <w:b/>
              </w:rPr>
            </w:pPr>
            <w:r w:rsidRPr="0094401B">
              <w:rPr>
                <w:rFonts w:cs="Times New Roman"/>
                <w:noProof/>
                <w:color w:val="000000"/>
              </w:rPr>
              <w:drawing>
                <wp:inline distT="0" distB="0" distL="0" distR="0" wp14:anchorId="3E659DA1" wp14:editId="5B5D123D">
                  <wp:extent cx="4132554" cy="3289300"/>
                  <wp:effectExtent l="0" t="0" r="8255" b="0"/>
                  <wp:docPr id="2" name="Picture 2" descr="Macintosh HD:Users:nataliemckeon:Desktop:Screen Shot 2015-04-17 at 11.09.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nataliemckeon:Desktop:Screen Shot 2015-04-17 at 11.09.57 AM.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29" t="4148"/>
                          <a:stretch/>
                        </pic:blipFill>
                        <pic:spPr bwMode="auto">
                          <a:xfrm>
                            <a:off x="0" y="0"/>
                            <a:ext cx="4134779" cy="329107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9C878A" w14:textId="77777777" w:rsidR="00D07227" w:rsidRDefault="00D07227" w:rsidP="00D07227">
      <w:pPr>
        <w:rPr>
          <w:b/>
        </w:rPr>
      </w:pPr>
    </w:p>
    <w:tbl>
      <w:tblPr>
        <w:tblStyle w:val="TableGrid"/>
        <w:tblW w:w="9558" w:type="dxa"/>
        <w:tblLayout w:type="fixed"/>
        <w:tblLook w:val="04A0" w:firstRow="1" w:lastRow="0" w:firstColumn="1" w:lastColumn="0" w:noHBand="0" w:noVBand="1"/>
      </w:tblPr>
      <w:tblGrid>
        <w:gridCol w:w="9558"/>
      </w:tblGrid>
      <w:tr w:rsidR="00D07227" w14:paraId="614E5CDE" w14:textId="77777777" w:rsidTr="00693273">
        <w:trPr>
          <w:trHeight w:val="272"/>
        </w:trPr>
        <w:tc>
          <w:tcPr>
            <w:tcW w:w="9558" w:type="dxa"/>
          </w:tcPr>
          <w:p w14:paraId="2C089BD1" w14:textId="77777777" w:rsidR="00D07227" w:rsidRPr="001F7241" w:rsidRDefault="00D07227" w:rsidP="00693273">
            <w:r>
              <w:t>Figure 2: Survey Questions in Text-Based and Image-Based Formats</w:t>
            </w:r>
          </w:p>
        </w:tc>
      </w:tr>
      <w:tr w:rsidR="00D07227" w14:paraId="730144C9" w14:textId="77777777" w:rsidTr="00693273">
        <w:trPr>
          <w:trHeight w:val="4835"/>
        </w:trPr>
        <w:tc>
          <w:tcPr>
            <w:tcW w:w="9558" w:type="dxa"/>
          </w:tcPr>
          <w:p w14:paraId="164D967B" w14:textId="77777777" w:rsidR="00D07227" w:rsidRDefault="00D07227" w:rsidP="00693273">
            <w:pPr>
              <w:jc w:val="center"/>
              <w:rPr>
                <w:b/>
              </w:rPr>
            </w:pPr>
          </w:p>
          <w:p w14:paraId="39929A64" w14:textId="77777777" w:rsidR="00D07227" w:rsidRDefault="00D07227" w:rsidP="00693273">
            <w:pPr>
              <w:jc w:val="center"/>
              <w:rPr>
                <w:b/>
              </w:rPr>
            </w:pPr>
            <w:r w:rsidRPr="0094401B">
              <w:rPr>
                <w:rFonts w:cs="Times New Roman"/>
                <w:noProof/>
                <w:color w:val="000000"/>
              </w:rPr>
              <w:drawing>
                <wp:inline distT="0" distB="0" distL="0" distR="0" wp14:anchorId="1C918574" wp14:editId="15B97E12">
                  <wp:extent cx="6033716" cy="2933700"/>
                  <wp:effectExtent l="0" t="0" r="12065" b="0"/>
                  <wp:docPr id="33" name="Picture 33" descr="Macintosh HD:Users:nataliemckeon:Desktop:Screen Shot 2015-04-17 at 2.02.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nataliemckeon:Desktop:Screen Shot 2015-04-17 at 2.02.2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2616" cy="2938027"/>
                          </a:xfrm>
                          <a:prstGeom prst="rect">
                            <a:avLst/>
                          </a:prstGeom>
                          <a:noFill/>
                          <a:ln>
                            <a:noFill/>
                          </a:ln>
                        </pic:spPr>
                      </pic:pic>
                    </a:graphicData>
                  </a:graphic>
                </wp:inline>
              </w:drawing>
            </w:r>
          </w:p>
          <w:p w14:paraId="4839C086" w14:textId="77777777" w:rsidR="00D07227" w:rsidRPr="009C5929" w:rsidRDefault="00D07227" w:rsidP="00693273">
            <w:pPr>
              <w:jc w:val="center"/>
              <w:rPr>
                <w:i/>
              </w:rPr>
            </w:pPr>
            <w:r w:rsidRPr="009C5929">
              <w:rPr>
                <w:i/>
              </w:rPr>
              <w:t>Text-Based from (Smith, 2009); Image-Based from (Dolan, McKeon, and Mellon, 2015)</w:t>
            </w:r>
          </w:p>
          <w:p w14:paraId="6A9BB87B" w14:textId="77777777" w:rsidR="00D07227" w:rsidRDefault="00D07227" w:rsidP="00693273">
            <w:pPr>
              <w:jc w:val="center"/>
              <w:rPr>
                <w:b/>
              </w:rPr>
            </w:pPr>
          </w:p>
        </w:tc>
      </w:tr>
    </w:tbl>
    <w:p w14:paraId="12B8C7C3" w14:textId="77777777" w:rsidR="00D07227" w:rsidRPr="002C4A01" w:rsidRDefault="00D07227" w:rsidP="00D07227">
      <w:pPr>
        <w:rPr>
          <w:b/>
        </w:rPr>
      </w:pPr>
      <w:r>
        <w:rPr>
          <w:b/>
        </w:rPr>
        <w:br w:type="page"/>
        <w:t>APPENDIX 2: CHARTS</w:t>
      </w:r>
    </w:p>
    <w:p w14:paraId="55D43751" w14:textId="77777777" w:rsidR="00D07227" w:rsidRDefault="00D07227" w:rsidP="00D07227"/>
    <w:tbl>
      <w:tblPr>
        <w:tblStyle w:val="TableGrid"/>
        <w:tblW w:w="0" w:type="auto"/>
        <w:tblLook w:val="04A0" w:firstRow="1" w:lastRow="0" w:firstColumn="1" w:lastColumn="0" w:noHBand="0" w:noVBand="1"/>
      </w:tblPr>
      <w:tblGrid>
        <w:gridCol w:w="6776"/>
      </w:tblGrid>
      <w:tr w:rsidR="00D07227" w14:paraId="40B9C879" w14:textId="77777777" w:rsidTr="00693273">
        <w:trPr>
          <w:trHeight w:val="291"/>
        </w:trPr>
        <w:tc>
          <w:tcPr>
            <w:tcW w:w="6776" w:type="dxa"/>
          </w:tcPr>
          <w:p w14:paraId="495AF019" w14:textId="77777777" w:rsidR="00D07227" w:rsidRDefault="00D07227" w:rsidP="00693273">
            <w:r>
              <w:t>Chart 1: Self-Identified Millennial Groups</w:t>
            </w:r>
          </w:p>
        </w:tc>
      </w:tr>
      <w:tr w:rsidR="00D07227" w14:paraId="3F770ED4" w14:textId="77777777" w:rsidTr="00693273">
        <w:trPr>
          <w:trHeight w:val="4649"/>
        </w:trPr>
        <w:tc>
          <w:tcPr>
            <w:tcW w:w="6776" w:type="dxa"/>
          </w:tcPr>
          <w:p w14:paraId="324C982F" w14:textId="77777777" w:rsidR="00D07227" w:rsidRDefault="00D07227" w:rsidP="00693273">
            <w:pPr>
              <w:jc w:val="center"/>
            </w:pPr>
            <w:r>
              <w:rPr>
                <w:noProof/>
              </w:rPr>
              <w:drawing>
                <wp:inline distT="0" distB="0" distL="0" distR="0" wp14:anchorId="08264498" wp14:editId="3F223CB5">
                  <wp:extent cx="4114800" cy="2832100"/>
                  <wp:effectExtent l="0" t="0" r="254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580A6FE" w14:textId="77777777" w:rsidR="00D07227" w:rsidRPr="002E25C4" w:rsidRDefault="00D07227" w:rsidP="00D07227"/>
    <w:p w14:paraId="43933F28" w14:textId="77777777" w:rsidR="00D07227" w:rsidRDefault="00D07227" w:rsidP="00D07227">
      <w:pPr>
        <w:rPr>
          <w:b/>
        </w:rPr>
      </w:pPr>
    </w:p>
    <w:tbl>
      <w:tblPr>
        <w:tblStyle w:val="TableGrid"/>
        <w:tblW w:w="10016" w:type="dxa"/>
        <w:tblLook w:val="04A0" w:firstRow="1" w:lastRow="0" w:firstColumn="1" w:lastColumn="0" w:noHBand="0" w:noVBand="1"/>
      </w:tblPr>
      <w:tblGrid>
        <w:gridCol w:w="10016"/>
      </w:tblGrid>
      <w:tr w:rsidR="00D07227" w14:paraId="0156E65F" w14:textId="77777777" w:rsidTr="00693273">
        <w:trPr>
          <w:trHeight w:val="304"/>
        </w:trPr>
        <w:tc>
          <w:tcPr>
            <w:tcW w:w="10016" w:type="dxa"/>
          </w:tcPr>
          <w:p w14:paraId="02EAB60E" w14:textId="77777777" w:rsidR="00D07227" w:rsidRPr="002B4B1D" w:rsidRDefault="00D07227" w:rsidP="00693273">
            <w:r>
              <w:t>Chart 2: High Importance of Environmental Considerations for Product Specific Purchases</w:t>
            </w:r>
          </w:p>
        </w:tc>
      </w:tr>
      <w:tr w:rsidR="00D07227" w14:paraId="0D51C119" w14:textId="77777777" w:rsidTr="00693273">
        <w:trPr>
          <w:trHeight w:val="4994"/>
        </w:trPr>
        <w:tc>
          <w:tcPr>
            <w:tcW w:w="10016" w:type="dxa"/>
          </w:tcPr>
          <w:p w14:paraId="7DD06F3A" w14:textId="77777777" w:rsidR="00D07227" w:rsidRDefault="00D07227" w:rsidP="00693273">
            <w:pPr>
              <w:jc w:val="center"/>
              <w:rPr>
                <w:b/>
              </w:rPr>
            </w:pPr>
          </w:p>
          <w:p w14:paraId="4047F50E" w14:textId="77777777" w:rsidR="00D07227" w:rsidRPr="004F30D8" w:rsidRDefault="00D07227" w:rsidP="00693273">
            <w:pPr>
              <w:jc w:val="center"/>
              <w:rPr>
                <w:i/>
              </w:rPr>
            </w:pPr>
            <w:r>
              <w:rPr>
                <w:i/>
              </w:rPr>
              <w:t>“How important are environmental considerations in buying the following categories of products?” – Very Important</w:t>
            </w:r>
          </w:p>
          <w:p w14:paraId="239103F6" w14:textId="77777777" w:rsidR="00D07227" w:rsidRDefault="00D07227" w:rsidP="00693273">
            <w:pPr>
              <w:jc w:val="center"/>
              <w:rPr>
                <w:b/>
              </w:rPr>
            </w:pPr>
            <w:r w:rsidRPr="0018058B">
              <w:rPr>
                <w:rFonts w:cs="Times New Roman"/>
                <w:noProof/>
                <w:color w:val="000000"/>
              </w:rPr>
              <w:drawing>
                <wp:inline distT="0" distB="0" distL="0" distR="0" wp14:anchorId="1F7FBC27" wp14:editId="0261FA31">
                  <wp:extent cx="5486400" cy="2919095"/>
                  <wp:effectExtent l="0" t="0" r="0" b="1905"/>
                  <wp:docPr id="134" name="Shape 134"/>
                  <wp:cNvGraphicFramePr/>
                  <a:graphic xmlns:a="http://schemas.openxmlformats.org/drawingml/2006/main">
                    <a:graphicData uri="http://schemas.openxmlformats.org/drawingml/2006/picture">
                      <pic:pic xmlns:pic="http://schemas.openxmlformats.org/drawingml/2006/picture">
                        <pic:nvPicPr>
                          <pic:cNvPr id="134" name="Shape 134"/>
                          <pic:cNvPicPr preferRelativeResize="0"/>
                        </pic:nvPicPr>
                        <pic:blipFill>
                          <a:blip r:embed="rId11">
                            <a:alphaModFix/>
                          </a:blip>
                          <a:stretch>
                            <a:fillRect/>
                          </a:stretch>
                        </pic:blipFill>
                        <pic:spPr>
                          <a:xfrm>
                            <a:off x="0" y="0"/>
                            <a:ext cx="5486400" cy="2919095"/>
                          </a:xfrm>
                          <a:prstGeom prst="rect">
                            <a:avLst/>
                          </a:prstGeom>
                          <a:noFill/>
                          <a:ln>
                            <a:noFill/>
                          </a:ln>
                        </pic:spPr>
                      </pic:pic>
                    </a:graphicData>
                  </a:graphic>
                </wp:inline>
              </w:drawing>
            </w:r>
          </w:p>
        </w:tc>
      </w:tr>
    </w:tbl>
    <w:p w14:paraId="14698F90" w14:textId="77777777" w:rsidR="00D07227" w:rsidRDefault="00D07227" w:rsidP="00D07227">
      <w:pPr>
        <w:rPr>
          <w:b/>
        </w:rPr>
      </w:pPr>
    </w:p>
    <w:p w14:paraId="30B5329F" w14:textId="77777777" w:rsidR="00D07227" w:rsidRDefault="00D07227" w:rsidP="00D07227">
      <w:pPr>
        <w:rPr>
          <w:b/>
        </w:rPr>
      </w:pPr>
    </w:p>
    <w:p w14:paraId="3263D727" w14:textId="77777777" w:rsidR="00D07227" w:rsidRDefault="00D07227" w:rsidP="00D07227">
      <w:pPr>
        <w:rPr>
          <w:b/>
        </w:rPr>
      </w:pPr>
      <w:r>
        <w:rPr>
          <w:b/>
        </w:rPr>
        <w:br w:type="page"/>
      </w:r>
    </w:p>
    <w:tbl>
      <w:tblPr>
        <w:tblStyle w:val="TableGrid"/>
        <w:tblW w:w="0" w:type="auto"/>
        <w:tblLook w:val="04A0" w:firstRow="1" w:lastRow="0" w:firstColumn="1" w:lastColumn="0" w:noHBand="0" w:noVBand="1"/>
      </w:tblPr>
      <w:tblGrid>
        <w:gridCol w:w="9576"/>
      </w:tblGrid>
      <w:tr w:rsidR="00D07227" w14:paraId="64A50B71" w14:textId="77777777" w:rsidTr="00693273">
        <w:tc>
          <w:tcPr>
            <w:tcW w:w="9576" w:type="dxa"/>
          </w:tcPr>
          <w:p w14:paraId="3B41C165" w14:textId="77777777" w:rsidR="00D07227" w:rsidRPr="00826B1C" w:rsidRDefault="00D07227" w:rsidP="00693273">
            <w:pPr>
              <w:rPr>
                <w:sz w:val="22"/>
                <w:szCs w:val="22"/>
              </w:rPr>
            </w:pPr>
            <w:r w:rsidRPr="00826B1C">
              <w:rPr>
                <w:sz w:val="22"/>
                <w:szCs w:val="22"/>
              </w:rPr>
              <w:t>Chart 3: Environmental Purchasing Tendencies Among Environmentalists and Non-Environmentalists</w:t>
            </w:r>
          </w:p>
        </w:tc>
      </w:tr>
      <w:tr w:rsidR="00D07227" w14:paraId="0F45B55C" w14:textId="77777777" w:rsidTr="00693273">
        <w:tc>
          <w:tcPr>
            <w:tcW w:w="9576" w:type="dxa"/>
          </w:tcPr>
          <w:p w14:paraId="2AB4E065" w14:textId="77777777" w:rsidR="00D07227" w:rsidRDefault="00D07227" w:rsidP="00693273">
            <w:pPr>
              <w:jc w:val="center"/>
              <w:rPr>
                <w:b/>
              </w:rPr>
            </w:pPr>
          </w:p>
          <w:p w14:paraId="78113D35" w14:textId="77777777" w:rsidR="00D07227" w:rsidRPr="00826B1C" w:rsidRDefault="00D07227" w:rsidP="00693273">
            <w:pPr>
              <w:jc w:val="center"/>
              <w:rPr>
                <w:b/>
                <w:i/>
              </w:rPr>
            </w:pPr>
            <w:r w:rsidRPr="00826B1C">
              <w:rPr>
                <w:rFonts w:cs="Times New Roman"/>
                <w:i/>
                <w:color w:val="000000"/>
              </w:rPr>
              <w:t>“How likely are you to buy specifically “green” or environmentally friendly products?”</w:t>
            </w:r>
          </w:p>
          <w:p w14:paraId="48661523" w14:textId="77777777" w:rsidR="00D07227" w:rsidRDefault="00D07227" w:rsidP="00693273">
            <w:pPr>
              <w:jc w:val="center"/>
              <w:rPr>
                <w:b/>
              </w:rPr>
            </w:pPr>
            <w:r w:rsidRPr="00826B1C">
              <w:rPr>
                <w:b/>
                <w:noProof/>
              </w:rPr>
              <w:drawing>
                <wp:inline distT="0" distB="0" distL="0" distR="0" wp14:anchorId="03C7CAFF" wp14:editId="22C35E06">
                  <wp:extent cx="5453017" cy="3253545"/>
                  <wp:effectExtent l="0" t="0" r="8255" b="0"/>
                  <wp:docPr id="126" name="Shape 126"/>
                  <wp:cNvGraphicFramePr/>
                  <a:graphic xmlns:a="http://schemas.openxmlformats.org/drawingml/2006/main">
                    <a:graphicData uri="http://schemas.openxmlformats.org/drawingml/2006/picture">
                      <pic:pic xmlns:pic="http://schemas.openxmlformats.org/drawingml/2006/picture">
                        <pic:nvPicPr>
                          <pic:cNvPr id="126" name="Shape 126"/>
                          <pic:cNvPicPr preferRelativeResize="0"/>
                        </pic:nvPicPr>
                        <pic:blipFill>
                          <a:blip r:embed="rId12">
                            <a:alphaModFix/>
                          </a:blip>
                          <a:stretch>
                            <a:fillRect/>
                          </a:stretch>
                        </pic:blipFill>
                        <pic:spPr>
                          <a:xfrm>
                            <a:off x="0" y="0"/>
                            <a:ext cx="5455967" cy="3255305"/>
                          </a:xfrm>
                          <a:prstGeom prst="rect">
                            <a:avLst/>
                          </a:prstGeom>
                          <a:noFill/>
                          <a:ln>
                            <a:noFill/>
                          </a:ln>
                        </pic:spPr>
                      </pic:pic>
                    </a:graphicData>
                  </a:graphic>
                </wp:inline>
              </w:drawing>
            </w:r>
          </w:p>
        </w:tc>
      </w:tr>
    </w:tbl>
    <w:p w14:paraId="004B5581" w14:textId="77777777" w:rsidR="00D07227" w:rsidRDefault="00D07227" w:rsidP="00D07227">
      <w:pPr>
        <w:rPr>
          <w:b/>
        </w:rPr>
      </w:pPr>
    </w:p>
    <w:tbl>
      <w:tblPr>
        <w:tblStyle w:val="TableGrid"/>
        <w:tblW w:w="0" w:type="auto"/>
        <w:tblLook w:val="04A0" w:firstRow="1" w:lastRow="0" w:firstColumn="1" w:lastColumn="0" w:noHBand="0" w:noVBand="1"/>
      </w:tblPr>
      <w:tblGrid>
        <w:gridCol w:w="7858"/>
      </w:tblGrid>
      <w:tr w:rsidR="00D07227" w14:paraId="7AD94004" w14:textId="77777777" w:rsidTr="00693273">
        <w:trPr>
          <w:trHeight w:val="318"/>
        </w:trPr>
        <w:tc>
          <w:tcPr>
            <w:tcW w:w="7858" w:type="dxa"/>
          </w:tcPr>
          <w:p w14:paraId="651BE97D" w14:textId="77777777" w:rsidR="00D07227" w:rsidRPr="00AB78F7" w:rsidRDefault="00D07227" w:rsidP="00693273">
            <w:r>
              <w:t>Chart 4: Top Cookie and Detergent Choice for the Sample Population</w:t>
            </w:r>
          </w:p>
        </w:tc>
      </w:tr>
      <w:tr w:rsidR="00D07227" w14:paraId="0D7A49F4" w14:textId="77777777" w:rsidTr="00693273">
        <w:trPr>
          <w:trHeight w:val="4058"/>
        </w:trPr>
        <w:tc>
          <w:tcPr>
            <w:tcW w:w="7858" w:type="dxa"/>
          </w:tcPr>
          <w:p w14:paraId="7B79DF59" w14:textId="77777777" w:rsidR="00D07227" w:rsidRDefault="00D07227" w:rsidP="00693273">
            <w:pPr>
              <w:jc w:val="center"/>
              <w:rPr>
                <w:b/>
              </w:rPr>
            </w:pPr>
            <w:r w:rsidRPr="0094401B">
              <w:rPr>
                <w:rFonts w:cs="Times New Roman"/>
                <w:noProof/>
              </w:rPr>
              <w:drawing>
                <wp:inline distT="0" distB="0" distL="0" distR="0" wp14:anchorId="3BFADE4B" wp14:editId="222EB0D6">
                  <wp:extent cx="4457700" cy="2463800"/>
                  <wp:effectExtent l="0" t="0" r="12700" b="2540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773C96B" w14:textId="77777777" w:rsidR="00D07227" w:rsidRDefault="00D07227" w:rsidP="00D07227">
      <w:pPr>
        <w:rPr>
          <w:b/>
        </w:rPr>
      </w:pPr>
    </w:p>
    <w:p w14:paraId="2002D50E" w14:textId="77777777" w:rsidR="00D07227" w:rsidRDefault="00D07227" w:rsidP="00D07227">
      <w:pPr>
        <w:rPr>
          <w:b/>
        </w:rPr>
      </w:pPr>
      <w:r>
        <w:rPr>
          <w:b/>
        </w:rPr>
        <w:br w:type="page"/>
      </w:r>
    </w:p>
    <w:tbl>
      <w:tblPr>
        <w:tblStyle w:val="TableGrid"/>
        <w:tblW w:w="0" w:type="auto"/>
        <w:tblLook w:val="04A0" w:firstRow="1" w:lastRow="0" w:firstColumn="1" w:lastColumn="0" w:noHBand="0" w:noVBand="1"/>
      </w:tblPr>
      <w:tblGrid>
        <w:gridCol w:w="9576"/>
      </w:tblGrid>
      <w:tr w:rsidR="00D07227" w14:paraId="497AD9FF" w14:textId="77777777" w:rsidTr="00693273">
        <w:tc>
          <w:tcPr>
            <w:tcW w:w="9576" w:type="dxa"/>
          </w:tcPr>
          <w:p w14:paraId="27B442FE" w14:textId="77777777" w:rsidR="00D07227" w:rsidRPr="009C287E" w:rsidRDefault="00D07227" w:rsidP="00693273">
            <w:r>
              <w:t>Chart 5: Cookie Choices Between Environmental Brand Options</w:t>
            </w:r>
          </w:p>
        </w:tc>
      </w:tr>
      <w:tr w:rsidR="00D07227" w14:paraId="5D3C3967" w14:textId="77777777" w:rsidTr="00693273">
        <w:tc>
          <w:tcPr>
            <w:tcW w:w="9576" w:type="dxa"/>
          </w:tcPr>
          <w:p w14:paraId="0909EFAB" w14:textId="77777777" w:rsidR="00D07227" w:rsidRDefault="00D07227" w:rsidP="00693273">
            <w:pPr>
              <w:jc w:val="center"/>
              <w:rPr>
                <w:b/>
              </w:rPr>
            </w:pPr>
            <w:r w:rsidRPr="0037113B">
              <w:rPr>
                <w:rFonts w:cs="Times New Roman"/>
                <w:noProof/>
              </w:rPr>
              <w:drawing>
                <wp:inline distT="0" distB="0" distL="0" distR="0" wp14:anchorId="7442CBC5" wp14:editId="41903017">
                  <wp:extent cx="5600700" cy="3352800"/>
                  <wp:effectExtent l="0" t="0" r="12700" b="0"/>
                  <wp:docPr id="146" name="Shape 146"/>
                  <wp:cNvGraphicFramePr/>
                  <a:graphic xmlns:a="http://schemas.openxmlformats.org/drawingml/2006/main">
                    <a:graphicData uri="http://schemas.openxmlformats.org/drawingml/2006/picture">
                      <pic:pic xmlns:pic="http://schemas.openxmlformats.org/drawingml/2006/picture">
                        <pic:nvPicPr>
                          <pic:cNvPr id="146" name="Shape 146"/>
                          <pic:cNvPicPr preferRelativeResize="0"/>
                        </pic:nvPicPr>
                        <pic:blipFill>
                          <a:blip r:embed="rId14">
                            <a:alphaModFix/>
                          </a:blip>
                          <a:stretch>
                            <a:fillRect/>
                          </a:stretch>
                        </pic:blipFill>
                        <pic:spPr>
                          <a:xfrm>
                            <a:off x="0" y="0"/>
                            <a:ext cx="5601342" cy="3353184"/>
                          </a:xfrm>
                          <a:prstGeom prst="rect">
                            <a:avLst/>
                          </a:prstGeom>
                          <a:noFill/>
                          <a:ln>
                            <a:noFill/>
                          </a:ln>
                        </pic:spPr>
                      </pic:pic>
                    </a:graphicData>
                  </a:graphic>
                </wp:inline>
              </w:drawing>
            </w:r>
          </w:p>
        </w:tc>
      </w:tr>
    </w:tbl>
    <w:p w14:paraId="6A730CCA" w14:textId="77777777" w:rsidR="00D07227" w:rsidRDefault="00D07227" w:rsidP="00D07227">
      <w:pPr>
        <w:rPr>
          <w:b/>
        </w:rPr>
      </w:pPr>
    </w:p>
    <w:tbl>
      <w:tblPr>
        <w:tblStyle w:val="TableGrid"/>
        <w:tblW w:w="9836" w:type="dxa"/>
        <w:tblLook w:val="04A0" w:firstRow="1" w:lastRow="0" w:firstColumn="1" w:lastColumn="0" w:noHBand="0" w:noVBand="1"/>
      </w:tblPr>
      <w:tblGrid>
        <w:gridCol w:w="9836"/>
      </w:tblGrid>
      <w:tr w:rsidR="00D07227" w14:paraId="5E6F277B" w14:textId="77777777" w:rsidTr="00693273">
        <w:trPr>
          <w:trHeight w:val="470"/>
        </w:trPr>
        <w:tc>
          <w:tcPr>
            <w:tcW w:w="9836" w:type="dxa"/>
          </w:tcPr>
          <w:p w14:paraId="5ABEA28F" w14:textId="77777777" w:rsidR="00D07227" w:rsidRPr="003F6A29" w:rsidRDefault="00D07227" w:rsidP="00693273">
            <w:pPr>
              <w:rPr>
                <w:sz w:val="18"/>
                <w:szCs w:val="18"/>
              </w:rPr>
            </w:pPr>
            <w:r w:rsidRPr="003F6A29">
              <w:rPr>
                <w:sz w:val="18"/>
                <w:szCs w:val="18"/>
              </w:rPr>
              <w:t>Chart 6: Preferences of Environmentally Friendly Detergent Brands Among Environmentalists and Non-Environmentalists.</w:t>
            </w:r>
          </w:p>
        </w:tc>
      </w:tr>
      <w:tr w:rsidR="00D07227" w14:paraId="6BA5A62A" w14:textId="77777777" w:rsidTr="00693273">
        <w:trPr>
          <w:trHeight w:val="282"/>
        </w:trPr>
        <w:tc>
          <w:tcPr>
            <w:tcW w:w="9836" w:type="dxa"/>
          </w:tcPr>
          <w:p w14:paraId="694A8A39" w14:textId="77777777" w:rsidR="00D07227" w:rsidRDefault="00D07227" w:rsidP="00693273">
            <w:pPr>
              <w:jc w:val="center"/>
              <w:rPr>
                <w:b/>
              </w:rPr>
            </w:pPr>
            <w:r w:rsidRPr="004A0656">
              <w:rPr>
                <w:rFonts w:cs="Times New Roman"/>
                <w:noProof/>
              </w:rPr>
              <w:drawing>
                <wp:anchor distT="0" distB="0" distL="114300" distR="114300" simplePos="0" relativeHeight="251662336" behindDoc="0" locked="0" layoutInCell="1" allowOverlap="1" wp14:anchorId="5391AF02" wp14:editId="16F3B29A">
                  <wp:simplePos x="0" y="0"/>
                  <wp:positionH relativeFrom="column">
                    <wp:posOffset>4572000</wp:posOffset>
                  </wp:positionH>
                  <wp:positionV relativeFrom="paragraph">
                    <wp:posOffset>1681480</wp:posOffset>
                  </wp:positionV>
                  <wp:extent cx="685800" cy="1226820"/>
                  <wp:effectExtent l="0" t="0" r="0" b="0"/>
                  <wp:wrapNone/>
                  <wp:docPr id="154" name="Shape 154"/>
                  <wp:cNvGraphicFramePr/>
                  <a:graphic xmlns:a="http://schemas.openxmlformats.org/drawingml/2006/main">
                    <a:graphicData uri="http://schemas.openxmlformats.org/drawingml/2006/picture">
                      <pic:pic xmlns:pic="http://schemas.openxmlformats.org/drawingml/2006/picture">
                        <pic:nvPicPr>
                          <pic:cNvPr id="154" name="Shape 154"/>
                          <pic:cNvPicPr preferRelativeResize="0"/>
                        </pic:nvPicPr>
                        <pic:blipFill rotWithShape="1">
                          <a:blip r:embed="rId15">
                            <a:alphaModFix/>
                            <a:extLst>
                              <a:ext uri="{28A0092B-C50C-407E-A947-70E740481C1C}">
                                <a14:useLocalDpi xmlns:a14="http://schemas.microsoft.com/office/drawing/2010/main" val="0"/>
                              </a:ext>
                            </a:extLst>
                          </a:blip>
                          <a:srcRect l="15131"/>
                          <a:stretch/>
                        </pic:blipFill>
                        <pic:spPr>
                          <a:xfrm>
                            <a:off x="0" y="0"/>
                            <a:ext cx="68580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656">
              <w:rPr>
                <w:rFonts w:cs="Times New Roman"/>
                <w:noProof/>
              </w:rPr>
              <w:drawing>
                <wp:anchor distT="0" distB="0" distL="114300" distR="114300" simplePos="0" relativeHeight="251661312" behindDoc="0" locked="0" layoutInCell="1" allowOverlap="1" wp14:anchorId="1E176D61" wp14:editId="03CBD4E5">
                  <wp:simplePos x="0" y="0"/>
                  <wp:positionH relativeFrom="column">
                    <wp:posOffset>2171700</wp:posOffset>
                  </wp:positionH>
                  <wp:positionV relativeFrom="paragraph">
                    <wp:posOffset>1910080</wp:posOffset>
                  </wp:positionV>
                  <wp:extent cx="685800" cy="998220"/>
                  <wp:effectExtent l="0" t="0" r="0" b="0"/>
                  <wp:wrapNone/>
                  <wp:docPr id="153" name="Shape 153"/>
                  <wp:cNvGraphicFramePr/>
                  <a:graphic xmlns:a="http://schemas.openxmlformats.org/drawingml/2006/main">
                    <a:graphicData uri="http://schemas.openxmlformats.org/drawingml/2006/picture">
                      <pic:pic xmlns:pic="http://schemas.openxmlformats.org/drawingml/2006/picture">
                        <pic:nvPicPr>
                          <pic:cNvPr id="153" name="Shape 153"/>
                          <pic:cNvPicPr preferRelativeResize="0"/>
                        </pic:nvPicPr>
                        <pic:blipFill rotWithShape="1">
                          <a:blip r:embed="rId16">
                            <a:alphaModFix/>
                            <a:extLst>
                              <a:ext uri="{28A0092B-C50C-407E-A947-70E740481C1C}">
                                <a14:useLocalDpi xmlns:a14="http://schemas.microsoft.com/office/drawing/2010/main" val="0"/>
                              </a:ext>
                            </a:extLst>
                          </a:blip>
                          <a:srcRect l="19250" t="4251" r="20213"/>
                          <a:stretch/>
                        </pic:blipFill>
                        <pic:spPr>
                          <a:xfrm>
                            <a:off x="0" y="0"/>
                            <a:ext cx="68580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13B">
              <w:rPr>
                <w:rFonts w:cs="Times New Roman"/>
                <w:noProof/>
              </w:rPr>
              <w:drawing>
                <wp:inline distT="0" distB="0" distL="0" distR="0" wp14:anchorId="3DB30093" wp14:editId="1729E7C3">
                  <wp:extent cx="5829300" cy="3390900"/>
                  <wp:effectExtent l="0" t="0" r="12700" b="12700"/>
                  <wp:docPr id="152" name="Shape 152"/>
                  <wp:cNvGraphicFramePr/>
                  <a:graphic xmlns:a="http://schemas.openxmlformats.org/drawingml/2006/main">
                    <a:graphicData uri="http://schemas.openxmlformats.org/drawingml/2006/picture">
                      <pic:pic xmlns:pic="http://schemas.openxmlformats.org/drawingml/2006/picture">
                        <pic:nvPicPr>
                          <pic:cNvPr id="152" name="Shape 152"/>
                          <pic:cNvPicPr preferRelativeResize="0"/>
                        </pic:nvPicPr>
                        <pic:blipFill>
                          <a:blip r:embed="rId17">
                            <a:alphaModFix/>
                          </a:blip>
                          <a:stretch>
                            <a:fillRect/>
                          </a:stretch>
                        </pic:blipFill>
                        <pic:spPr>
                          <a:xfrm>
                            <a:off x="0" y="0"/>
                            <a:ext cx="5829985" cy="3391298"/>
                          </a:xfrm>
                          <a:prstGeom prst="rect">
                            <a:avLst/>
                          </a:prstGeom>
                          <a:noFill/>
                          <a:ln>
                            <a:noFill/>
                          </a:ln>
                        </pic:spPr>
                      </pic:pic>
                    </a:graphicData>
                  </a:graphic>
                </wp:inline>
              </w:drawing>
            </w:r>
          </w:p>
        </w:tc>
      </w:tr>
    </w:tbl>
    <w:p w14:paraId="4CE483F5" w14:textId="77777777" w:rsidR="00D07227" w:rsidRDefault="00D07227" w:rsidP="00D07227">
      <w:pPr>
        <w:rPr>
          <w:b/>
        </w:rPr>
      </w:pPr>
    </w:p>
    <w:p w14:paraId="75A71AA7" w14:textId="77777777" w:rsidR="00D07227" w:rsidRDefault="00D07227" w:rsidP="00D07227">
      <w:pPr>
        <w:rPr>
          <w:b/>
        </w:rPr>
      </w:pPr>
    </w:p>
    <w:p w14:paraId="26B671E7" w14:textId="77777777" w:rsidR="00D07227" w:rsidRDefault="00D07227" w:rsidP="00D07227">
      <w:pPr>
        <w:rPr>
          <w:b/>
        </w:rPr>
      </w:pPr>
    </w:p>
    <w:p w14:paraId="403C80DC" w14:textId="77777777" w:rsidR="00D07227" w:rsidRDefault="00D07227" w:rsidP="00D07227">
      <w:pPr>
        <w:rPr>
          <w:b/>
        </w:rPr>
      </w:pPr>
    </w:p>
    <w:tbl>
      <w:tblPr>
        <w:tblStyle w:val="TableGrid"/>
        <w:tblW w:w="10196" w:type="dxa"/>
        <w:tblLook w:val="04A0" w:firstRow="1" w:lastRow="0" w:firstColumn="1" w:lastColumn="0" w:noHBand="0" w:noVBand="1"/>
      </w:tblPr>
      <w:tblGrid>
        <w:gridCol w:w="10196"/>
      </w:tblGrid>
      <w:tr w:rsidR="00D07227" w14:paraId="63CC80E1" w14:textId="77777777" w:rsidTr="00693273">
        <w:trPr>
          <w:trHeight w:val="319"/>
        </w:trPr>
        <w:tc>
          <w:tcPr>
            <w:tcW w:w="10196" w:type="dxa"/>
          </w:tcPr>
          <w:p w14:paraId="6C285EDF" w14:textId="77777777" w:rsidR="00D07227" w:rsidRPr="00687434" w:rsidRDefault="00D07227" w:rsidP="00693273">
            <w:r>
              <w:t>Chart 7: Millennials’ Identification of Environmental Certification Labels</w:t>
            </w:r>
          </w:p>
        </w:tc>
      </w:tr>
      <w:tr w:rsidR="00D07227" w14:paraId="3BBDDFC4" w14:textId="77777777" w:rsidTr="00693273">
        <w:trPr>
          <w:trHeight w:val="6155"/>
        </w:trPr>
        <w:tc>
          <w:tcPr>
            <w:tcW w:w="10196" w:type="dxa"/>
          </w:tcPr>
          <w:p w14:paraId="377918EC" w14:textId="77777777" w:rsidR="00D07227" w:rsidRDefault="00D07227" w:rsidP="00693273">
            <w:pPr>
              <w:rPr>
                <w:b/>
              </w:rPr>
            </w:pPr>
            <w:r w:rsidRPr="0094401B">
              <w:rPr>
                <w:rFonts w:cs="Times New Roman"/>
                <w:noProof/>
              </w:rPr>
              <mc:AlternateContent>
                <mc:Choice Requires="wps">
                  <w:drawing>
                    <wp:anchor distT="0" distB="0" distL="114300" distR="114300" simplePos="0" relativeHeight="251660288" behindDoc="0" locked="0" layoutInCell="1" allowOverlap="1" wp14:anchorId="3DACEDF2" wp14:editId="2E31290B">
                      <wp:simplePos x="0" y="0"/>
                      <wp:positionH relativeFrom="column">
                        <wp:posOffset>5602605</wp:posOffset>
                      </wp:positionH>
                      <wp:positionV relativeFrom="paragraph">
                        <wp:posOffset>699135</wp:posOffset>
                      </wp:positionV>
                      <wp:extent cx="800100" cy="3086100"/>
                      <wp:effectExtent l="0" t="0" r="0" b="12700"/>
                      <wp:wrapSquare wrapText="bothSides"/>
                      <wp:docPr id="54" name="Text Box 54"/>
                      <wp:cNvGraphicFramePr/>
                      <a:graphic xmlns:a="http://schemas.openxmlformats.org/drawingml/2006/main">
                        <a:graphicData uri="http://schemas.microsoft.com/office/word/2010/wordprocessingShape">
                          <wps:wsp>
                            <wps:cNvSpPr txBox="1"/>
                            <wps:spPr>
                              <a:xfrm>
                                <a:off x="0" y="0"/>
                                <a:ext cx="8001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25703" w14:textId="77777777" w:rsidR="00D07227" w:rsidRDefault="00D07227" w:rsidP="00D07227">
                                  <w:pPr>
                                    <w:spacing w:after="80"/>
                                    <w:rPr>
                                      <w:rFonts w:cs="Times New Roman"/>
                                      <w:noProof/>
                                    </w:rPr>
                                  </w:pPr>
                                </w:p>
                                <w:p w14:paraId="0900D8A6" w14:textId="77777777" w:rsidR="00D07227" w:rsidRPr="00DF138E" w:rsidRDefault="00D07227" w:rsidP="00D07227">
                                  <w:pPr>
                                    <w:spacing w:after="80"/>
                                    <w:rPr>
                                      <w:rFonts w:cs="Times New Roman"/>
                                      <w:noProof/>
                                    </w:rPr>
                                  </w:pPr>
                                  <w:r w:rsidRPr="00DF138E">
                                    <w:rPr>
                                      <w:rFonts w:cs="Times New Roman"/>
                                      <w:noProof/>
                                    </w:rPr>
                                    <w:drawing>
                                      <wp:inline distT="0" distB="0" distL="0" distR="0" wp14:anchorId="5B2509CD" wp14:editId="36F5EF97">
                                        <wp:extent cx="550001" cy="423079"/>
                                        <wp:effectExtent l="0" t="0" r="889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121" cy="423940"/>
                                                </a:xfrm>
                                                <a:prstGeom prst="rect">
                                                  <a:avLst/>
                                                </a:prstGeom>
                                                <a:noFill/>
                                                <a:ln>
                                                  <a:noFill/>
                                                </a:ln>
                                                <a:effectLst/>
                                                <a:extLst/>
                                              </pic:spPr>
                                            </pic:pic>
                                          </a:graphicData>
                                        </a:graphic>
                                      </wp:inline>
                                    </w:drawing>
                                  </w:r>
                                </w:p>
                                <w:p w14:paraId="00840185" w14:textId="77777777" w:rsidR="00D07227" w:rsidRDefault="00D07227" w:rsidP="00D07227">
                                  <w:pPr>
                                    <w:spacing w:after="80"/>
                                    <w:rPr>
                                      <w:rFonts w:cs="Times New Roman"/>
                                    </w:rPr>
                                  </w:pPr>
                                  <w:r w:rsidRPr="00DF138E">
                                    <w:rPr>
                                      <w:rFonts w:cs="Times New Roman"/>
                                      <w:noProof/>
                                    </w:rPr>
                                    <w:drawing>
                                      <wp:inline distT="0" distB="0" distL="0" distR="0" wp14:anchorId="13F53FD6" wp14:editId="429EAF43">
                                        <wp:extent cx="513534" cy="36539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005" cy="365734"/>
                                                </a:xfrm>
                                                <a:prstGeom prst="rect">
                                                  <a:avLst/>
                                                </a:prstGeom>
                                                <a:noFill/>
                                                <a:ln>
                                                  <a:noFill/>
                                                </a:ln>
                                                <a:effectLst/>
                                                <a:extLst/>
                                              </pic:spPr>
                                            </pic:pic>
                                          </a:graphicData>
                                        </a:graphic>
                                      </wp:inline>
                                    </w:drawing>
                                  </w:r>
                                </w:p>
                                <w:p w14:paraId="633AFB0B" w14:textId="77777777" w:rsidR="00D07227" w:rsidRPr="00DF138E" w:rsidRDefault="00D07227" w:rsidP="00D07227">
                                  <w:pPr>
                                    <w:spacing w:after="80"/>
                                    <w:rPr>
                                      <w:rFonts w:cs="Times New Roman"/>
                                    </w:rPr>
                                  </w:pPr>
                                </w:p>
                                <w:p w14:paraId="68BDC9E2" w14:textId="77777777" w:rsidR="00D07227" w:rsidRPr="00DF138E" w:rsidRDefault="00D07227" w:rsidP="00D07227">
                                  <w:pPr>
                                    <w:spacing w:after="80"/>
                                    <w:rPr>
                                      <w:rFonts w:cs="Times New Roman"/>
                                    </w:rPr>
                                  </w:pPr>
                                  <w:r w:rsidRPr="00DF138E">
                                    <w:rPr>
                                      <w:rFonts w:cs="Times New Roman"/>
                                      <w:noProof/>
                                    </w:rPr>
                                    <w:drawing>
                                      <wp:inline distT="0" distB="0" distL="0" distR="0" wp14:anchorId="5CB671DC" wp14:editId="5E3ADA90">
                                        <wp:extent cx="408124" cy="415972"/>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500" cy="416355"/>
                                                </a:xfrm>
                                                <a:prstGeom prst="rect">
                                                  <a:avLst/>
                                                </a:prstGeom>
                                                <a:noFill/>
                                                <a:ln>
                                                  <a:noFill/>
                                                </a:ln>
                                                <a:effectLst/>
                                                <a:extLst/>
                                              </pic:spPr>
                                            </pic:pic>
                                          </a:graphicData>
                                        </a:graphic>
                                      </wp:inline>
                                    </w:drawing>
                                  </w:r>
                                </w:p>
                                <w:p w14:paraId="53F6D631" w14:textId="77777777" w:rsidR="00D07227" w:rsidRPr="00DF138E" w:rsidRDefault="00D07227" w:rsidP="00D07227">
                                  <w:pPr>
                                    <w:spacing w:after="80"/>
                                    <w:rPr>
                                      <w:rFonts w:cs="Times New Roman"/>
                                    </w:rPr>
                                  </w:pPr>
                                  <w:r w:rsidRPr="00DF138E">
                                    <w:rPr>
                                      <w:rFonts w:cs="Times New Roman"/>
                                      <w:noProof/>
                                    </w:rPr>
                                    <w:drawing>
                                      <wp:inline distT="0" distB="0" distL="0" distR="0" wp14:anchorId="12DFB7C2" wp14:editId="2B99411B">
                                        <wp:extent cx="435247" cy="435247"/>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a:stretch>
                                                  <a:fillRect/>
                                                </a:stretch>
                                              </pic:blipFill>
                                              <pic:spPr>
                                                <a:xfrm>
                                                  <a:off x="0" y="0"/>
                                                  <a:ext cx="435389" cy="435389"/>
                                                </a:xfrm>
                                                <a:prstGeom prst="rect">
                                                  <a:avLst/>
                                                </a:prstGeom>
                                              </pic:spPr>
                                            </pic:pic>
                                          </a:graphicData>
                                        </a:graphic>
                                      </wp:inline>
                                    </w:drawing>
                                  </w:r>
                                </w:p>
                                <w:p w14:paraId="3F83EFA4" w14:textId="77777777" w:rsidR="00D07227" w:rsidRPr="00DF138E" w:rsidRDefault="00D07227" w:rsidP="00D07227">
                                  <w:pPr>
                                    <w:spacing w:after="80"/>
                                    <w:rPr>
                                      <w:rFonts w:cs="Times New Roman"/>
                                    </w:rPr>
                                  </w:pPr>
                                  <w:r w:rsidRPr="00DF138E">
                                    <w:rPr>
                                      <w:rFonts w:cs="Times New Roman"/>
                                      <w:noProof/>
                                    </w:rPr>
                                    <w:drawing>
                                      <wp:inline distT="0" distB="0" distL="0" distR="0" wp14:anchorId="3163620E" wp14:editId="4CB5843C">
                                        <wp:extent cx="526434" cy="506186"/>
                                        <wp:effectExtent l="0" t="0" r="6985"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515" cy="507226"/>
                                                </a:xfrm>
                                                <a:prstGeom prst="rect">
                                                  <a:avLst/>
                                                </a:prstGeom>
                                                <a:noFill/>
                                                <a:ln>
                                                  <a:noFill/>
                                                </a:ln>
                                                <a:effectLst/>
                                                <a:extLst/>
                                              </pic:spPr>
                                            </pic:pic>
                                          </a:graphicData>
                                        </a:graphic>
                                      </wp:inline>
                                    </w:drawing>
                                  </w:r>
                                </w:p>
                                <w:p w14:paraId="438D3840" w14:textId="77777777" w:rsidR="00D07227" w:rsidRDefault="00D07227" w:rsidP="00D0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4" o:spid="_x0000_s1026" type="#_x0000_t202" style="position:absolute;margin-left:441.15pt;margin-top:55.05pt;width:6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ctdc0CAAAQ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" filled="f" stroked="f">
                      <v:textbox>
                        <w:txbxContent>
                          <w:p w14:paraId="41F25703" w14:textId="77777777" w:rsidR="00D07227" w:rsidRDefault="00D07227" w:rsidP="00D07227">
                            <w:pPr>
                              <w:spacing w:after="80"/>
                              <w:rPr>
                                <w:rFonts w:cs="Times New Roman"/>
                                <w:noProof/>
                              </w:rPr>
                            </w:pPr>
                          </w:p>
                          <w:p w14:paraId="0900D8A6" w14:textId="77777777" w:rsidR="00D07227" w:rsidRPr="00DF138E" w:rsidRDefault="00D07227" w:rsidP="00D07227">
                            <w:pPr>
                              <w:spacing w:after="80"/>
                              <w:rPr>
                                <w:rFonts w:cs="Times New Roman"/>
                                <w:noProof/>
                              </w:rPr>
                            </w:pPr>
                            <w:r w:rsidRPr="00DF138E">
                              <w:rPr>
                                <w:rFonts w:cs="Times New Roman"/>
                                <w:noProof/>
                              </w:rPr>
                              <w:drawing>
                                <wp:inline distT="0" distB="0" distL="0" distR="0" wp14:anchorId="5B2509CD" wp14:editId="36F5EF97">
                                  <wp:extent cx="550001" cy="423079"/>
                                  <wp:effectExtent l="0" t="0" r="889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121" cy="423940"/>
                                          </a:xfrm>
                                          <a:prstGeom prst="rect">
                                            <a:avLst/>
                                          </a:prstGeom>
                                          <a:noFill/>
                                          <a:ln>
                                            <a:noFill/>
                                          </a:ln>
                                          <a:effectLst/>
                                          <a:extLst/>
                                        </pic:spPr>
                                      </pic:pic>
                                    </a:graphicData>
                                  </a:graphic>
                                </wp:inline>
                              </w:drawing>
                            </w:r>
                          </w:p>
                          <w:p w14:paraId="00840185" w14:textId="77777777" w:rsidR="00D07227" w:rsidRDefault="00D07227" w:rsidP="00D07227">
                            <w:pPr>
                              <w:spacing w:after="80"/>
                              <w:rPr>
                                <w:rFonts w:cs="Times New Roman"/>
                              </w:rPr>
                            </w:pPr>
                            <w:r w:rsidRPr="00DF138E">
                              <w:rPr>
                                <w:rFonts w:cs="Times New Roman"/>
                                <w:noProof/>
                              </w:rPr>
                              <w:drawing>
                                <wp:inline distT="0" distB="0" distL="0" distR="0" wp14:anchorId="13F53FD6" wp14:editId="429EAF43">
                                  <wp:extent cx="513534" cy="36539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005" cy="365734"/>
                                          </a:xfrm>
                                          <a:prstGeom prst="rect">
                                            <a:avLst/>
                                          </a:prstGeom>
                                          <a:noFill/>
                                          <a:ln>
                                            <a:noFill/>
                                          </a:ln>
                                          <a:effectLst/>
                                          <a:extLst/>
                                        </pic:spPr>
                                      </pic:pic>
                                    </a:graphicData>
                                  </a:graphic>
                                </wp:inline>
                              </w:drawing>
                            </w:r>
                          </w:p>
                          <w:p w14:paraId="633AFB0B" w14:textId="77777777" w:rsidR="00D07227" w:rsidRPr="00DF138E" w:rsidRDefault="00D07227" w:rsidP="00D07227">
                            <w:pPr>
                              <w:spacing w:after="80"/>
                              <w:rPr>
                                <w:rFonts w:cs="Times New Roman"/>
                              </w:rPr>
                            </w:pPr>
                          </w:p>
                          <w:p w14:paraId="68BDC9E2" w14:textId="77777777" w:rsidR="00D07227" w:rsidRPr="00DF138E" w:rsidRDefault="00D07227" w:rsidP="00D07227">
                            <w:pPr>
                              <w:spacing w:after="80"/>
                              <w:rPr>
                                <w:rFonts w:cs="Times New Roman"/>
                              </w:rPr>
                            </w:pPr>
                            <w:r w:rsidRPr="00DF138E">
                              <w:rPr>
                                <w:rFonts w:cs="Times New Roman"/>
                                <w:noProof/>
                              </w:rPr>
                              <w:drawing>
                                <wp:inline distT="0" distB="0" distL="0" distR="0" wp14:anchorId="5CB671DC" wp14:editId="5E3ADA90">
                                  <wp:extent cx="408124" cy="415972"/>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500" cy="416355"/>
                                          </a:xfrm>
                                          <a:prstGeom prst="rect">
                                            <a:avLst/>
                                          </a:prstGeom>
                                          <a:noFill/>
                                          <a:ln>
                                            <a:noFill/>
                                          </a:ln>
                                          <a:effectLst/>
                                          <a:extLst/>
                                        </pic:spPr>
                                      </pic:pic>
                                    </a:graphicData>
                                  </a:graphic>
                                </wp:inline>
                              </w:drawing>
                            </w:r>
                          </w:p>
                          <w:p w14:paraId="53F6D631" w14:textId="77777777" w:rsidR="00D07227" w:rsidRPr="00DF138E" w:rsidRDefault="00D07227" w:rsidP="00D07227">
                            <w:pPr>
                              <w:spacing w:after="80"/>
                              <w:rPr>
                                <w:rFonts w:cs="Times New Roman"/>
                              </w:rPr>
                            </w:pPr>
                            <w:r w:rsidRPr="00DF138E">
                              <w:rPr>
                                <w:rFonts w:cs="Times New Roman"/>
                                <w:noProof/>
                              </w:rPr>
                              <w:drawing>
                                <wp:inline distT="0" distB="0" distL="0" distR="0" wp14:anchorId="12DFB7C2" wp14:editId="2B99411B">
                                  <wp:extent cx="435247" cy="435247"/>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6"/>
                                          <a:stretch>
                                            <a:fillRect/>
                                          </a:stretch>
                                        </pic:blipFill>
                                        <pic:spPr>
                                          <a:xfrm>
                                            <a:off x="0" y="0"/>
                                            <a:ext cx="435389" cy="435389"/>
                                          </a:xfrm>
                                          <a:prstGeom prst="rect">
                                            <a:avLst/>
                                          </a:prstGeom>
                                        </pic:spPr>
                                      </pic:pic>
                                    </a:graphicData>
                                  </a:graphic>
                                </wp:inline>
                              </w:drawing>
                            </w:r>
                          </w:p>
                          <w:p w14:paraId="3F83EFA4" w14:textId="77777777" w:rsidR="00D07227" w:rsidRPr="00DF138E" w:rsidRDefault="00D07227" w:rsidP="00D07227">
                            <w:pPr>
                              <w:spacing w:after="80"/>
                              <w:rPr>
                                <w:rFonts w:cs="Times New Roman"/>
                              </w:rPr>
                            </w:pPr>
                            <w:r w:rsidRPr="00DF138E">
                              <w:rPr>
                                <w:rFonts w:cs="Times New Roman"/>
                                <w:noProof/>
                              </w:rPr>
                              <w:drawing>
                                <wp:inline distT="0" distB="0" distL="0" distR="0" wp14:anchorId="3163620E" wp14:editId="4CB5843C">
                                  <wp:extent cx="526434" cy="506186"/>
                                  <wp:effectExtent l="0" t="0" r="6985"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515" cy="507226"/>
                                          </a:xfrm>
                                          <a:prstGeom prst="rect">
                                            <a:avLst/>
                                          </a:prstGeom>
                                          <a:noFill/>
                                          <a:ln>
                                            <a:noFill/>
                                          </a:ln>
                                          <a:effectLst/>
                                          <a:extLst/>
                                        </pic:spPr>
                                      </pic:pic>
                                    </a:graphicData>
                                  </a:graphic>
                                </wp:inline>
                              </w:drawing>
                            </w:r>
                          </w:p>
                          <w:p w14:paraId="438D3840" w14:textId="77777777" w:rsidR="00D07227" w:rsidRDefault="00D07227" w:rsidP="00D07227"/>
                        </w:txbxContent>
                      </v:textbox>
                      <w10:wrap type="square"/>
                    </v:shape>
                  </w:pict>
                </mc:Fallback>
              </mc:AlternateContent>
            </w:r>
            <w:r w:rsidRPr="0094401B">
              <w:rPr>
                <w:rFonts w:cs="Times New Roman"/>
                <w:noProof/>
              </w:rPr>
              <w:drawing>
                <wp:inline distT="0" distB="0" distL="0" distR="0" wp14:anchorId="2F005374" wp14:editId="3A8E556B">
                  <wp:extent cx="5600700" cy="3784600"/>
                  <wp:effectExtent l="0" t="0" r="12700"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7E3E275C" w14:textId="77777777" w:rsidR="00D07227" w:rsidRDefault="00D07227" w:rsidP="00D07227">
      <w:pPr>
        <w:rPr>
          <w:b/>
        </w:rPr>
      </w:pPr>
    </w:p>
    <w:p w14:paraId="3178E75D" w14:textId="77777777" w:rsidR="00D07227" w:rsidRDefault="00D07227" w:rsidP="00D07227">
      <w:pPr>
        <w:rPr>
          <w:b/>
        </w:rPr>
      </w:pPr>
      <w:r>
        <w:rPr>
          <w:b/>
        </w:rPr>
        <w:br w:type="page"/>
      </w:r>
    </w:p>
    <w:tbl>
      <w:tblPr>
        <w:tblStyle w:val="TableGrid"/>
        <w:tblW w:w="10016" w:type="dxa"/>
        <w:tblLook w:val="04A0" w:firstRow="1" w:lastRow="0" w:firstColumn="1" w:lastColumn="0" w:noHBand="0" w:noVBand="1"/>
      </w:tblPr>
      <w:tblGrid>
        <w:gridCol w:w="10016"/>
      </w:tblGrid>
      <w:tr w:rsidR="00D07227" w14:paraId="5F1D4797" w14:textId="77777777" w:rsidTr="00693273">
        <w:trPr>
          <w:trHeight w:val="297"/>
        </w:trPr>
        <w:tc>
          <w:tcPr>
            <w:tcW w:w="10016" w:type="dxa"/>
          </w:tcPr>
          <w:p w14:paraId="0650A6D7" w14:textId="77777777" w:rsidR="00D07227" w:rsidRPr="00307BA9" w:rsidRDefault="00D07227" w:rsidP="00693273">
            <w:r>
              <w:t>Chart 8: Millennials’ Identification of Illegitimate Certification Labels</w:t>
            </w:r>
          </w:p>
        </w:tc>
      </w:tr>
      <w:tr w:rsidR="00D07227" w14:paraId="03E41D6C" w14:textId="77777777" w:rsidTr="00693273">
        <w:trPr>
          <w:trHeight w:val="6000"/>
        </w:trPr>
        <w:tc>
          <w:tcPr>
            <w:tcW w:w="10016" w:type="dxa"/>
          </w:tcPr>
          <w:p w14:paraId="0150629F" w14:textId="77777777" w:rsidR="00D07227" w:rsidRDefault="00D07227" w:rsidP="00693273">
            <w:pPr>
              <w:rPr>
                <w:b/>
              </w:rPr>
            </w:pPr>
            <w:r w:rsidRPr="0094401B">
              <w:rPr>
                <w:rFonts w:cs="Times New Roman"/>
                <w:noProof/>
              </w:rPr>
              <mc:AlternateContent>
                <mc:Choice Requires="wps">
                  <w:drawing>
                    <wp:anchor distT="0" distB="0" distL="114300" distR="114300" simplePos="0" relativeHeight="251659264" behindDoc="0" locked="0" layoutInCell="1" allowOverlap="1" wp14:anchorId="016FC044" wp14:editId="372FB4BD">
                      <wp:simplePos x="0" y="0"/>
                      <wp:positionH relativeFrom="column">
                        <wp:posOffset>5143500</wp:posOffset>
                      </wp:positionH>
                      <wp:positionV relativeFrom="paragraph">
                        <wp:posOffset>1056005</wp:posOffset>
                      </wp:positionV>
                      <wp:extent cx="1028700" cy="246888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028700" cy="2468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9EC0C5" w14:textId="77777777" w:rsidR="00D07227" w:rsidRDefault="00D07227" w:rsidP="00D07227">
                                  <w:r w:rsidRPr="00DF138E">
                                    <w:rPr>
                                      <w:rFonts w:cs="Times New Roman"/>
                                      <w:noProof/>
                                    </w:rPr>
                                    <w:drawing>
                                      <wp:inline distT="0" distB="0" distL="0" distR="0" wp14:anchorId="177E2063" wp14:editId="5CAD2757">
                                        <wp:extent cx="457868" cy="600574"/>
                                        <wp:effectExtent l="0" t="0" r="0" b="9525"/>
                                        <wp:docPr id="61" name="Picture 61"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tz:yz83bc2d6rq6p281dbty5rqc0000gn:T:TemporaryItems:Graphi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9077" cy="602160"/>
                                                </a:xfrm>
                                                <a:prstGeom prst="rect">
                                                  <a:avLst/>
                                                </a:prstGeom>
                                                <a:noFill/>
                                                <a:ln>
                                                  <a:noFill/>
                                                </a:ln>
                                              </pic:spPr>
                                            </pic:pic>
                                          </a:graphicData>
                                        </a:graphic>
                                      </wp:inline>
                                    </w:drawing>
                                  </w:r>
                                </w:p>
                                <w:p w14:paraId="675630A3" w14:textId="77777777" w:rsidR="00D07227" w:rsidRDefault="00D07227" w:rsidP="00D07227">
                                  <w:r w:rsidRPr="00DF138E">
                                    <w:rPr>
                                      <w:rFonts w:cs="Times New Roman"/>
                                      <w:noProof/>
                                    </w:rPr>
                                    <w:drawing>
                                      <wp:inline distT="0" distB="0" distL="0" distR="0" wp14:anchorId="79CB2957" wp14:editId="01FDEEA9">
                                        <wp:extent cx="484414" cy="484414"/>
                                        <wp:effectExtent l="0" t="0" r="0" b="0"/>
                                        <wp:docPr id="62" name="Picture 62"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tz:yz83bc2d6rq6p281dbty5rqc0000gn:T:TemporaryItems:Graphic.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6100" cy="486100"/>
                                                </a:xfrm>
                                                <a:prstGeom prst="rect">
                                                  <a:avLst/>
                                                </a:prstGeom>
                                                <a:noFill/>
                                                <a:ln>
                                                  <a:noFill/>
                                                </a:ln>
                                              </pic:spPr>
                                            </pic:pic>
                                          </a:graphicData>
                                        </a:graphic>
                                      </wp:inline>
                                    </w:drawing>
                                  </w:r>
                                  <w:r w:rsidRPr="00DF138E">
                                    <w:rPr>
                                      <w:rFonts w:cs="Times New Roman"/>
                                      <w:noProof/>
                                    </w:rPr>
                                    <w:drawing>
                                      <wp:inline distT="0" distB="0" distL="0" distR="0" wp14:anchorId="05B98D35" wp14:editId="3A6AEC7E">
                                        <wp:extent cx="733560" cy="576943"/>
                                        <wp:effectExtent l="0" t="0" r="3175" b="7620"/>
                                        <wp:docPr id="64" name="Picture 64"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tz:yz83bc2d6rq6p281dbty5rqc0000gn:T:TemporaryItems:Graphic.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5296" cy="578308"/>
                                                </a:xfrm>
                                                <a:prstGeom prst="rect">
                                                  <a:avLst/>
                                                </a:prstGeom>
                                                <a:noFill/>
                                                <a:ln>
                                                  <a:noFill/>
                                                </a:ln>
                                              </pic:spPr>
                                            </pic:pic>
                                          </a:graphicData>
                                        </a:graphic>
                                      </wp:inline>
                                    </w:drawing>
                                  </w:r>
                                  <w:r w:rsidRPr="00DF138E">
                                    <w:rPr>
                                      <w:rFonts w:cs="Times New Roman"/>
                                      <w:noProof/>
                                    </w:rPr>
                                    <w:drawing>
                                      <wp:inline distT="0" distB="0" distL="0" distR="0" wp14:anchorId="32FF7E1F" wp14:editId="0E964C72">
                                        <wp:extent cx="402432" cy="560614"/>
                                        <wp:effectExtent l="0" t="0" r="4445" b="0"/>
                                        <wp:docPr id="66" name="Picture 66"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tz:yz83bc2d6rq6p281dbty5rqc0000gn:T:TemporaryItems:Graphic.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060" cy="561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margin-left:405pt;margin-top:83.15pt;width:81pt;height:1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" filled="f" stroked="f">
                      <v:textbox>
                        <w:txbxContent>
                          <w:p w14:paraId="6A9EC0C5" w14:textId="77777777" w:rsidR="00D07227" w:rsidRDefault="00D07227" w:rsidP="00D07227">
                            <w:r w:rsidRPr="00DF138E">
                              <w:rPr>
                                <w:rFonts w:cs="Times New Roman"/>
                                <w:noProof/>
                              </w:rPr>
                              <w:drawing>
                                <wp:inline distT="0" distB="0" distL="0" distR="0" wp14:anchorId="177E2063" wp14:editId="5CAD2757">
                                  <wp:extent cx="457868" cy="600574"/>
                                  <wp:effectExtent l="0" t="0" r="0" b="9525"/>
                                  <wp:docPr id="61" name="Picture 61"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tz:yz83bc2d6rq6p281dbty5rqc0000gn:T:TemporaryItems:Graphic.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077" cy="602160"/>
                                          </a:xfrm>
                                          <a:prstGeom prst="rect">
                                            <a:avLst/>
                                          </a:prstGeom>
                                          <a:noFill/>
                                          <a:ln>
                                            <a:noFill/>
                                          </a:ln>
                                        </pic:spPr>
                                      </pic:pic>
                                    </a:graphicData>
                                  </a:graphic>
                                </wp:inline>
                              </w:drawing>
                            </w:r>
                          </w:p>
                          <w:p w14:paraId="675630A3" w14:textId="77777777" w:rsidR="00D07227" w:rsidRDefault="00D07227" w:rsidP="00D07227">
                            <w:r w:rsidRPr="00DF138E">
                              <w:rPr>
                                <w:rFonts w:cs="Times New Roman"/>
                                <w:noProof/>
                              </w:rPr>
                              <w:drawing>
                                <wp:inline distT="0" distB="0" distL="0" distR="0" wp14:anchorId="79CB2957" wp14:editId="01FDEEA9">
                                  <wp:extent cx="484414" cy="484414"/>
                                  <wp:effectExtent l="0" t="0" r="0" b="0"/>
                                  <wp:docPr id="62" name="Picture 62"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tz:yz83bc2d6rq6p281dbty5rqc0000gn:T:TemporaryItems:Graphic.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100" cy="486100"/>
                                          </a:xfrm>
                                          <a:prstGeom prst="rect">
                                            <a:avLst/>
                                          </a:prstGeom>
                                          <a:noFill/>
                                          <a:ln>
                                            <a:noFill/>
                                          </a:ln>
                                        </pic:spPr>
                                      </pic:pic>
                                    </a:graphicData>
                                  </a:graphic>
                                </wp:inline>
                              </w:drawing>
                            </w:r>
                            <w:r w:rsidRPr="00DF138E">
                              <w:rPr>
                                <w:rFonts w:cs="Times New Roman"/>
                                <w:noProof/>
                              </w:rPr>
                              <w:drawing>
                                <wp:inline distT="0" distB="0" distL="0" distR="0" wp14:anchorId="05B98D35" wp14:editId="3A6AEC7E">
                                  <wp:extent cx="733560" cy="576943"/>
                                  <wp:effectExtent l="0" t="0" r="3175" b="7620"/>
                                  <wp:docPr id="64" name="Picture 64"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tz:yz83bc2d6rq6p281dbty5rqc0000gn:T:TemporaryItems:Graphic.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5296" cy="578308"/>
                                          </a:xfrm>
                                          <a:prstGeom prst="rect">
                                            <a:avLst/>
                                          </a:prstGeom>
                                          <a:noFill/>
                                          <a:ln>
                                            <a:noFill/>
                                          </a:ln>
                                        </pic:spPr>
                                      </pic:pic>
                                    </a:graphicData>
                                  </a:graphic>
                                </wp:inline>
                              </w:drawing>
                            </w:r>
                            <w:r w:rsidRPr="00DF138E">
                              <w:rPr>
                                <w:rFonts w:cs="Times New Roman"/>
                                <w:noProof/>
                              </w:rPr>
                              <w:drawing>
                                <wp:inline distT="0" distB="0" distL="0" distR="0" wp14:anchorId="32FF7E1F" wp14:editId="0E964C72">
                                  <wp:extent cx="402432" cy="560614"/>
                                  <wp:effectExtent l="0" t="0" r="4445" b="0"/>
                                  <wp:docPr id="66" name="Picture 66" descr="Macintosh HD:private:var:folders:tz:yz83bc2d6rq6p281dbty5rqc0000gn:T:TemporaryItems: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tz:yz83bc2d6rq6p281dbty5rqc0000gn:T:TemporaryItems:Graphic.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060" cy="561489"/>
                                          </a:xfrm>
                                          <a:prstGeom prst="rect">
                                            <a:avLst/>
                                          </a:prstGeom>
                                          <a:noFill/>
                                          <a:ln>
                                            <a:noFill/>
                                          </a:ln>
                                        </pic:spPr>
                                      </pic:pic>
                                    </a:graphicData>
                                  </a:graphic>
                                </wp:inline>
                              </w:drawing>
                            </w:r>
                          </w:p>
                        </w:txbxContent>
                      </v:textbox>
                      <w10:wrap type="square"/>
                    </v:shape>
                  </w:pict>
                </mc:Fallback>
              </mc:AlternateContent>
            </w:r>
            <w:r w:rsidRPr="0094401B">
              <w:rPr>
                <w:rFonts w:cs="Times New Roman"/>
                <w:noProof/>
              </w:rPr>
              <w:drawing>
                <wp:inline distT="0" distB="0" distL="0" distR="0" wp14:anchorId="3C358DCE" wp14:editId="6D8DE04A">
                  <wp:extent cx="5829300" cy="3797300"/>
                  <wp:effectExtent l="0" t="0" r="12700" b="1270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14:paraId="6149596D" w14:textId="77777777" w:rsidR="00D07227" w:rsidRDefault="00D07227" w:rsidP="00D07227">
      <w:pPr>
        <w:rPr>
          <w:b/>
        </w:rPr>
      </w:pPr>
    </w:p>
    <w:p w14:paraId="55F8A1D7" w14:textId="77777777" w:rsidR="00D07227" w:rsidRPr="00F51BE7" w:rsidRDefault="00D07227" w:rsidP="00D07227">
      <w:pPr>
        <w:rPr>
          <w:b/>
        </w:rPr>
      </w:pPr>
      <w:r>
        <w:t xml:space="preserve"> </w:t>
      </w:r>
    </w:p>
    <w:p w14:paraId="485C4D6C" w14:textId="77777777" w:rsidR="00D07227" w:rsidRPr="00D07227" w:rsidRDefault="00D07227" w:rsidP="009C120D">
      <w:pPr>
        <w:rPr>
          <w:rFonts w:cs="Times New Roman"/>
          <w:b/>
          <w:color w:val="000000"/>
        </w:rPr>
      </w:pPr>
    </w:p>
    <w:sectPr w:rsidR="00D07227" w:rsidRPr="00D07227" w:rsidSect="0042107B">
      <w:footerReference w:type="even" r:id="rId38"/>
      <w:footerReference w:type="defaul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B7BE" w14:textId="77777777" w:rsidR="007F0064" w:rsidRDefault="007F0064" w:rsidP="00154408">
      <w:r>
        <w:separator/>
      </w:r>
    </w:p>
  </w:endnote>
  <w:endnote w:type="continuationSeparator" w:id="0">
    <w:p w14:paraId="03501996" w14:textId="77777777" w:rsidR="007F0064" w:rsidRDefault="007F0064" w:rsidP="0015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D960" w14:textId="77777777" w:rsidR="007F0064" w:rsidRDefault="007F0064" w:rsidP="003A0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7EEE7" w14:textId="77777777" w:rsidR="007F0064" w:rsidRDefault="007F0064" w:rsidP="001544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393D" w14:textId="77777777" w:rsidR="007F0064" w:rsidRDefault="007F0064" w:rsidP="003A0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94F">
      <w:rPr>
        <w:rStyle w:val="PageNumber"/>
        <w:noProof/>
      </w:rPr>
      <w:t>2</w:t>
    </w:r>
    <w:r>
      <w:rPr>
        <w:rStyle w:val="PageNumber"/>
      </w:rPr>
      <w:fldChar w:fldCharType="end"/>
    </w:r>
  </w:p>
  <w:p w14:paraId="3068F1EF" w14:textId="77777777" w:rsidR="007F0064" w:rsidRDefault="007F0064" w:rsidP="001544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40568" w14:textId="77777777" w:rsidR="007F0064" w:rsidRDefault="007F0064" w:rsidP="00154408">
      <w:r>
        <w:separator/>
      </w:r>
    </w:p>
  </w:footnote>
  <w:footnote w:type="continuationSeparator" w:id="0">
    <w:p w14:paraId="3E03D700" w14:textId="77777777" w:rsidR="007F0064" w:rsidRDefault="007F0064" w:rsidP="00154408">
      <w:r>
        <w:continuationSeparator/>
      </w:r>
    </w:p>
  </w:footnote>
  <w:footnote w:id="1">
    <w:p w14:paraId="605CBE86" w14:textId="416D4CD8" w:rsidR="007F0064" w:rsidRDefault="007F0064">
      <w:pPr>
        <w:pStyle w:val="FootnoteText"/>
      </w:pPr>
      <w:r>
        <w:rPr>
          <w:rStyle w:val="FootnoteReference"/>
        </w:rPr>
        <w:footnoteRef/>
      </w:r>
      <w:r>
        <w:t xml:space="preserve"> See Figure 1 in Appendix 1</w:t>
      </w:r>
    </w:p>
  </w:footnote>
  <w:footnote w:id="2">
    <w:p w14:paraId="67D0D45D" w14:textId="0C8F882B" w:rsidR="007F0064" w:rsidRDefault="007F0064">
      <w:pPr>
        <w:pStyle w:val="FootnoteText"/>
      </w:pPr>
      <w:r>
        <w:rPr>
          <w:rStyle w:val="FootnoteReference"/>
        </w:rPr>
        <w:footnoteRef/>
      </w:r>
      <w:r>
        <w:t xml:space="preserve"> See Figure 2 in Appendix 1</w:t>
      </w:r>
    </w:p>
  </w:footnote>
  <w:footnote w:id="3">
    <w:p w14:paraId="3C5E55EF" w14:textId="2E7B1257" w:rsidR="007F0064" w:rsidRDefault="007F0064">
      <w:pPr>
        <w:pStyle w:val="FootnoteText"/>
      </w:pPr>
      <w:r>
        <w:rPr>
          <w:rStyle w:val="FootnoteReference"/>
        </w:rPr>
        <w:footnoteRef/>
      </w:r>
      <w:r>
        <w:t xml:space="preserve"> See Chart 1 in Appendix 2</w:t>
      </w:r>
    </w:p>
  </w:footnote>
  <w:footnote w:id="4">
    <w:p w14:paraId="7D4DE1E7" w14:textId="0D9EEAF3" w:rsidR="007F0064" w:rsidRDefault="007F0064">
      <w:pPr>
        <w:pStyle w:val="FootnoteText"/>
      </w:pPr>
      <w:r>
        <w:rPr>
          <w:rStyle w:val="FootnoteReference"/>
        </w:rPr>
        <w:footnoteRef/>
      </w:r>
      <w:r>
        <w:t xml:space="preserve"> See Chart 2 in Appendix 2</w:t>
      </w:r>
    </w:p>
  </w:footnote>
  <w:footnote w:id="5">
    <w:p w14:paraId="610F4AAB" w14:textId="3D5D087A" w:rsidR="007F0064" w:rsidRDefault="007F0064">
      <w:pPr>
        <w:pStyle w:val="FootnoteText"/>
      </w:pPr>
      <w:r>
        <w:rPr>
          <w:rStyle w:val="FootnoteReference"/>
        </w:rPr>
        <w:footnoteRef/>
      </w:r>
      <w:r>
        <w:t xml:space="preserve"> See Chart 3 in Appendix 2</w:t>
      </w:r>
    </w:p>
  </w:footnote>
  <w:footnote w:id="6">
    <w:p w14:paraId="454DF267" w14:textId="2AC58003" w:rsidR="007F0064" w:rsidRDefault="007F0064">
      <w:pPr>
        <w:pStyle w:val="FootnoteText"/>
      </w:pPr>
      <w:r>
        <w:rPr>
          <w:rStyle w:val="FootnoteReference"/>
        </w:rPr>
        <w:footnoteRef/>
      </w:r>
      <w:r>
        <w:t xml:space="preserve"> See Chart 4 in Appendix 2</w:t>
      </w:r>
    </w:p>
  </w:footnote>
  <w:footnote w:id="7">
    <w:p w14:paraId="4E70DAE7" w14:textId="38116401" w:rsidR="007F0064" w:rsidRDefault="007F0064">
      <w:pPr>
        <w:pStyle w:val="FootnoteText"/>
      </w:pPr>
      <w:r>
        <w:rPr>
          <w:rStyle w:val="FootnoteReference"/>
        </w:rPr>
        <w:footnoteRef/>
      </w:r>
      <w:r>
        <w:t xml:space="preserve"> See Chart 5 in Appendix 2</w:t>
      </w:r>
    </w:p>
  </w:footnote>
  <w:footnote w:id="8">
    <w:p w14:paraId="7796442F" w14:textId="6F131AB8" w:rsidR="007F0064" w:rsidRDefault="007F0064">
      <w:pPr>
        <w:pStyle w:val="FootnoteText"/>
      </w:pPr>
      <w:r>
        <w:rPr>
          <w:rStyle w:val="FootnoteReference"/>
        </w:rPr>
        <w:footnoteRef/>
      </w:r>
      <w:r>
        <w:t xml:space="preserve"> See Chart 6 in Appendix 2</w:t>
      </w:r>
    </w:p>
  </w:footnote>
  <w:footnote w:id="9">
    <w:p w14:paraId="04DA5952" w14:textId="7C85F60E" w:rsidR="007F0064" w:rsidRDefault="007F0064">
      <w:pPr>
        <w:pStyle w:val="FootnoteText"/>
      </w:pPr>
      <w:r>
        <w:rPr>
          <w:rStyle w:val="FootnoteReference"/>
        </w:rPr>
        <w:footnoteRef/>
      </w:r>
      <w:r>
        <w:t xml:space="preserve"> See Charts 7 and 8 in Appendix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0C"/>
    <w:rsid w:val="00016532"/>
    <w:rsid w:val="000269B2"/>
    <w:rsid w:val="00030DC8"/>
    <w:rsid w:val="0005327F"/>
    <w:rsid w:val="00054544"/>
    <w:rsid w:val="000865CE"/>
    <w:rsid w:val="00090088"/>
    <w:rsid w:val="00095708"/>
    <w:rsid w:val="000D5EBB"/>
    <w:rsid w:val="000D6C43"/>
    <w:rsid w:val="000F00DD"/>
    <w:rsid w:val="000F1B1E"/>
    <w:rsid w:val="000F6374"/>
    <w:rsid w:val="000F75CB"/>
    <w:rsid w:val="00103AEF"/>
    <w:rsid w:val="0010426C"/>
    <w:rsid w:val="00112901"/>
    <w:rsid w:val="0014000C"/>
    <w:rsid w:val="00151113"/>
    <w:rsid w:val="00154408"/>
    <w:rsid w:val="00155364"/>
    <w:rsid w:val="00165888"/>
    <w:rsid w:val="00184EEF"/>
    <w:rsid w:val="0019289D"/>
    <w:rsid w:val="001A4F49"/>
    <w:rsid w:val="001D7FE6"/>
    <w:rsid w:val="001E468F"/>
    <w:rsid w:val="001F6642"/>
    <w:rsid w:val="002019E6"/>
    <w:rsid w:val="00215B09"/>
    <w:rsid w:val="00215E96"/>
    <w:rsid w:val="00216281"/>
    <w:rsid w:val="002221B9"/>
    <w:rsid w:val="00222F9E"/>
    <w:rsid w:val="00247A0E"/>
    <w:rsid w:val="0025590F"/>
    <w:rsid w:val="0027163D"/>
    <w:rsid w:val="00274799"/>
    <w:rsid w:val="00284AC1"/>
    <w:rsid w:val="002930AB"/>
    <w:rsid w:val="00295D0B"/>
    <w:rsid w:val="002A0AAA"/>
    <w:rsid w:val="002A7B8F"/>
    <w:rsid w:val="002B1C16"/>
    <w:rsid w:val="002D6CD0"/>
    <w:rsid w:val="002F798C"/>
    <w:rsid w:val="00307406"/>
    <w:rsid w:val="0031290E"/>
    <w:rsid w:val="00321110"/>
    <w:rsid w:val="00321A1C"/>
    <w:rsid w:val="003243F6"/>
    <w:rsid w:val="00343728"/>
    <w:rsid w:val="00354537"/>
    <w:rsid w:val="00367796"/>
    <w:rsid w:val="00375866"/>
    <w:rsid w:val="00376559"/>
    <w:rsid w:val="00392270"/>
    <w:rsid w:val="003944A2"/>
    <w:rsid w:val="003A08C6"/>
    <w:rsid w:val="003B1616"/>
    <w:rsid w:val="003C6C7D"/>
    <w:rsid w:val="003D0A31"/>
    <w:rsid w:val="00413F9E"/>
    <w:rsid w:val="0041563E"/>
    <w:rsid w:val="0042107B"/>
    <w:rsid w:val="0042500C"/>
    <w:rsid w:val="0043054F"/>
    <w:rsid w:val="00431799"/>
    <w:rsid w:val="00440E4F"/>
    <w:rsid w:val="00445DB7"/>
    <w:rsid w:val="0047621F"/>
    <w:rsid w:val="00491614"/>
    <w:rsid w:val="004939CE"/>
    <w:rsid w:val="00493BB4"/>
    <w:rsid w:val="00497AA4"/>
    <w:rsid w:val="004A36B7"/>
    <w:rsid w:val="004C0CFC"/>
    <w:rsid w:val="004C1DD2"/>
    <w:rsid w:val="004C3FDB"/>
    <w:rsid w:val="00510E1F"/>
    <w:rsid w:val="00521EA9"/>
    <w:rsid w:val="005235A5"/>
    <w:rsid w:val="00525874"/>
    <w:rsid w:val="005265D6"/>
    <w:rsid w:val="00534E0E"/>
    <w:rsid w:val="005447E9"/>
    <w:rsid w:val="00557FC1"/>
    <w:rsid w:val="00563006"/>
    <w:rsid w:val="00565C9F"/>
    <w:rsid w:val="00571D6E"/>
    <w:rsid w:val="0057481A"/>
    <w:rsid w:val="00584D49"/>
    <w:rsid w:val="005938A2"/>
    <w:rsid w:val="005A5B41"/>
    <w:rsid w:val="005B03C1"/>
    <w:rsid w:val="005B33E5"/>
    <w:rsid w:val="005B64AE"/>
    <w:rsid w:val="005C05A0"/>
    <w:rsid w:val="005C4A8F"/>
    <w:rsid w:val="005C6A08"/>
    <w:rsid w:val="005D0A35"/>
    <w:rsid w:val="005E1C33"/>
    <w:rsid w:val="005F3189"/>
    <w:rsid w:val="005F7E08"/>
    <w:rsid w:val="00612878"/>
    <w:rsid w:val="00622B5E"/>
    <w:rsid w:val="0062476A"/>
    <w:rsid w:val="00635092"/>
    <w:rsid w:val="0064094F"/>
    <w:rsid w:val="0066070E"/>
    <w:rsid w:val="0066236D"/>
    <w:rsid w:val="00667F0A"/>
    <w:rsid w:val="00667FCD"/>
    <w:rsid w:val="00686C9D"/>
    <w:rsid w:val="00692981"/>
    <w:rsid w:val="00694E4A"/>
    <w:rsid w:val="006A33CD"/>
    <w:rsid w:val="006A686D"/>
    <w:rsid w:val="006C6EA9"/>
    <w:rsid w:val="006D0788"/>
    <w:rsid w:val="006D6A16"/>
    <w:rsid w:val="006E4C71"/>
    <w:rsid w:val="006E58D7"/>
    <w:rsid w:val="006F0002"/>
    <w:rsid w:val="006F62E1"/>
    <w:rsid w:val="007029A0"/>
    <w:rsid w:val="00705B49"/>
    <w:rsid w:val="00714B15"/>
    <w:rsid w:val="00720151"/>
    <w:rsid w:val="007343D4"/>
    <w:rsid w:val="00746F02"/>
    <w:rsid w:val="00753FBC"/>
    <w:rsid w:val="00767E26"/>
    <w:rsid w:val="00772F6F"/>
    <w:rsid w:val="0079204F"/>
    <w:rsid w:val="007926A5"/>
    <w:rsid w:val="00793740"/>
    <w:rsid w:val="00796E69"/>
    <w:rsid w:val="00797BBB"/>
    <w:rsid w:val="007B7CD6"/>
    <w:rsid w:val="007B7D35"/>
    <w:rsid w:val="007C7782"/>
    <w:rsid w:val="007D4D61"/>
    <w:rsid w:val="007D67D2"/>
    <w:rsid w:val="007F0064"/>
    <w:rsid w:val="00803CFC"/>
    <w:rsid w:val="00805C6F"/>
    <w:rsid w:val="00806A6B"/>
    <w:rsid w:val="00817365"/>
    <w:rsid w:val="00817A27"/>
    <w:rsid w:val="0082453B"/>
    <w:rsid w:val="00843198"/>
    <w:rsid w:val="008526CD"/>
    <w:rsid w:val="00853BC7"/>
    <w:rsid w:val="00860C69"/>
    <w:rsid w:val="00860FB9"/>
    <w:rsid w:val="00885C23"/>
    <w:rsid w:val="00890994"/>
    <w:rsid w:val="00890E76"/>
    <w:rsid w:val="008B217B"/>
    <w:rsid w:val="008B7F94"/>
    <w:rsid w:val="008C0413"/>
    <w:rsid w:val="008C3D74"/>
    <w:rsid w:val="008D5403"/>
    <w:rsid w:val="008E6399"/>
    <w:rsid w:val="008F1494"/>
    <w:rsid w:val="009012D0"/>
    <w:rsid w:val="00911B6F"/>
    <w:rsid w:val="009146F3"/>
    <w:rsid w:val="00916607"/>
    <w:rsid w:val="00920F21"/>
    <w:rsid w:val="009433C9"/>
    <w:rsid w:val="00946019"/>
    <w:rsid w:val="00956258"/>
    <w:rsid w:val="009640BC"/>
    <w:rsid w:val="009831D9"/>
    <w:rsid w:val="009A1289"/>
    <w:rsid w:val="009A757F"/>
    <w:rsid w:val="009B7824"/>
    <w:rsid w:val="009C120D"/>
    <w:rsid w:val="009D751D"/>
    <w:rsid w:val="009E25BF"/>
    <w:rsid w:val="009F4ED6"/>
    <w:rsid w:val="009F61DE"/>
    <w:rsid w:val="00A12607"/>
    <w:rsid w:val="00A21A70"/>
    <w:rsid w:val="00A44D6D"/>
    <w:rsid w:val="00A453BE"/>
    <w:rsid w:val="00A461E9"/>
    <w:rsid w:val="00A60131"/>
    <w:rsid w:val="00A6748C"/>
    <w:rsid w:val="00A71191"/>
    <w:rsid w:val="00A83EFA"/>
    <w:rsid w:val="00AB14F5"/>
    <w:rsid w:val="00AC0AF9"/>
    <w:rsid w:val="00AE07AE"/>
    <w:rsid w:val="00AF1AF9"/>
    <w:rsid w:val="00AF5023"/>
    <w:rsid w:val="00AF5B51"/>
    <w:rsid w:val="00B05FAF"/>
    <w:rsid w:val="00B17D06"/>
    <w:rsid w:val="00B34B38"/>
    <w:rsid w:val="00B35415"/>
    <w:rsid w:val="00B41624"/>
    <w:rsid w:val="00B50559"/>
    <w:rsid w:val="00B557DA"/>
    <w:rsid w:val="00B67ADF"/>
    <w:rsid w:val="00B7397D"/>
    <w:rsid w:val="00B87BFA"/>
    <w:rsid w:val="00B93167"/>
    <w:rsid w:val="00BB3073"/>
    <w:rsid w:val="00BC3FDF"/>
    <w:rsid w:val="00BD134E"/>
    <w:rsid w:val="00BD32DE"/>
    <w:rsid w:val="00BE2497"/>
    <w:rsid w:val="00BE6693"/>
    <w:rsid w:val="00BE728C"/>
    <w:rsid w:val="00BE7ADC"/>
    <w:rsid w:val="00BF55B2"/>
    <w:rsid w:val="00C0680C"/>
    <w:rsid w:val="00C12705"/>
    <w:rsid w:val="00C17066"/>
    <w:rsid w:val="00C246B0"/>
    <w:rsid w:val="00C25D6D"/>
    <w:rsid w:val="00C4460D"/>
    <w:rsid w:val="00C46DC1"/>
    <w:rsid w:val="00C6507C"/>
    <w:rsid w:val="00C773E8"/>
    <w:rsid w:val="00C840F3"/>
    <w:rsid w:val="00C86205"/>
    <w:rsid w:val="00C92DC7"/>
    <w:rsid w:val="00C92F62"/>
    <w:rsid w:val="00C96528"/>
    <w:rsid w:val="00C968B2"/>
    <w:rsid w:val="00C96BDE"/>
    <w:rsid w:val="00CA6891"/>
    <w:rsid w:val="00CB58BD"/>
    <w:rsid w:val="00CD3C52"/>
    <w:rsid w:val="00D07227"/>
    <w:rsid w:val="00D215DA"/>
    <w:rsid w:val="00D317E9"/>
    <w:rsid w:val="00D53670"/>
    <w:rsid w:val="00D547C7"/>
    <w:rsid w:val="00D72B8F"/>
    <w:rsid w:val="00D762DC"/>
    <w:rsid w:val="00D868F8"/>
    <w:rsid w:val="00D87BD2"/>
    <w:rsid w:val="00D95659"/>
    <w:rsid w:val="00D95B5E"/>
    <w:rsid w:val="00D965DF"/>
    <w:rsid w:val="00DA1F2F"/>
    <w:rsid w:val="00DA5D3A"/>
    <w:rsid w:val="00DB3830"/>
    <w:rsid w:val="00DB7AEB"/>
    <w:rsid w:val="00DC1DA9"/>
    <w:rsid w:val="00DD3E1F"/>
    <w:rsid w:val="00E01510"/>
    <w:rsid w:val="00E062BB"/>
    <w:rsid w:val="00E0733F"/>
    <w:rsid w:val="00E1094A"/>
    <w:rsid w:val="00E1671E"/>
    <w:rsid w:val="00E56138"/>
    <w:rsid w:val="00E633D8"/>
    <w:rsid w:val="00E72751"/>
    <w:rsid w:val="00E77B6A"/>
    <w:rsid w:val="00E77B7F"/>
    <w:rsid w:val="00E77DB6"/>
    <w:rsid w:val="00E94F51"/>
    <w:rsid w:val="00EA0B81"/>
    <w:rsid w:val="00ED6621"/>
    <w:rsid w:val="00EF3133"/>
    <w:rsid w:val="00F03FE6"/>
    <w:rsid w:val="00F072F7"/>
    <w:rsid w:val="00F134CC"/>
    <w:rsid w:val="00F22564"/>
    <w:rsid w:val="00F30154"/>
    <w:rsid w:val="00F42CC4"/>
    <w:rsid w:val="00F46E1A"/>
    <w:rsid w:val="00F547A2"/>
    <w:rsid w:val="00F60258"/>
    <w:rsid w:val="00F61471"/>
    <w:rsid w:val="00F74233"/>
    <w:rsid w:val="00F85EC4"/>
    <w:rsid w:val="00F90D96"/>
    <w:rsid w:val="00FA2194"/>
    <w:rsid w:val="00FA5758"/>
    <w:rsid w:val="00FB0596"/>
    <w:rsid w:val="00FD64DD"/>
    <w:rsid w:val="00FE1E52"/>
    <w:rsid w:val="00FE2B9F"/>
    <w:rsid w:val="00FE3C14"/>
    <w:rsid w:val="00FE467B"/>
    <w:rsid w:val="00FF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FD8B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408"/>
    <w:pPr>
      <w:tabs>
        <w:tab w:val="center" w:pos="4320"/>
        <w:tab w:val="right" w:pos="8640"/>
      </w:tabs>
    </w:pPr>
  </w:style>
  <w:style w:type="character" w:customStyle="1" w:styleId="FooterChar">
    <w:name w:val="Footer Char"/>
    <w:basedOn w:val="DefaultParagraphFont"/>
    <w:link w:val="Footer"/>
    <w:uiPriority w:val="99"/>
    <w:rsid w:val="00154408"/>
  </w:style>
  <w:style w:type="character" w:styleId="PageNumber">
    <w:name w:val="page number"/>
    <w:basedOn w:val="DefaultParagraphFont"/>
    <w:uiPriority w:val="99"/>
    <w:semiHidden/>
    <w:unhideWhenUsed/>
    <w:rsid w:val="00154408"/>
  </w:style>
  <w:style w:type="paragraph" w:styleId="ListParagraph">
    <w:name w:val="List Paragraph"/>
    <w:basedOn w:val="Normal"/>
    <w:uiPriority w:val="34"/>
    <w:qFormat/>
    <w:rsid w:val="00BF55B2"/>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BF5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5B2"/>
    <w:rPr>
      <w:rFonts w:ascii="Lucida Grande" w:hAnsi="Lucida Grande" w:cs="Lucida Grande"/>
      <w:sz w:val="18"/>
      <w:szCs w:val="18"/>
    </w:rPr>
  </w:style>
  <w:style w:type="paragraph" w:customStyle="1" w:styleId="Body">
    <w:name w:val="Body"/>
    <w:rsid w:val="00C968B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DA5D3A"/>
  </w:style>
  <w:style w:type="character" w:customStyle="1" w:styleId="FootnoteTextChar">
    <w:name w:val="Footnote Text Char"/>
    <w:basedOn w:val="DefaultParagraphFont"/>
    <w:link w:val="FootnoteText"/>
    <w:uiPriority w:val="99"/>
    <w:rsid w:val="00DA5D3A"/>
  </w:style>
  <w:style w:type="character" w:styleId="FootnoteReference">
    <w:name w:val="footnote reference"/>
    <w:basedOn w:val="DefaultParagraphFont"/>
    <w:uiPriority w:val="99"/>
    <w:unhideWhenUsed/>
    <w:rsid w:val="00DA5D3A"/>
    <w:rPr>
      <w:vertAlign w:val="superscript"/>
    </w:rPr>
  </w:style>
  <w:style w:type="table" w:styleId="TableGrid">
    <w:name w:val="Table Grid"/>
    <w:basedOn w:val="TableNormal"/>
    <w:uiPriority w:val="59"/>
    <w:rsid w:val="00D0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408"/>
    <w:pPr>
      <w:tabs>
        <w:tab w:val="center" w:pos="4320"/>
        <w:tab w:val="right" w:pos="8640"/>
      </w:tabs>
    </w:pPr>
  </w:style>
  <w:style w:type="character" w:customStyle="1" w:styleId="FooterChar">
    <w:name w:val="Footer Char"/>
    <w:basedOn w:val="DefaultParagraphFont"/>
    <w:link w:val="Footer"/>
    <w:uiPriority w:val="99"/>
    <w:rsid w:val="00154408"/>
  </w:style>
  <w:style w:type="character" w:styleId="PageNumber">
    <w:name w:val="page number"/>
    <w:basedOn w:val="DefaultParagraphFont"/>
    <w:uiPriority w:val="99"/>
    <w:semiHidden/>
    <w:unhideWhenUsed/>
    <w:rsid w:val="00154408"/>
  </w:style>
  <w:style w:type="paragraph" w:styleId="ListParagraph">
    <w:name w:val="List Paragraph"/>
    <w:basedOn w:val="Normal"/>
    <w:uiPriority w:val="34"/>
    <w:qFormat/>
    <w:rsid w:val="00BF55B2"/>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BF5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5B2"/>
    <w:rPr>
      <w:rFonts w:ascii="Lucida Grande" w:hAnsi="Lucida Grande" w:cs="Lucida Grande"/>
      <w:sz w:val="18"/>
      <w:szCs w:val="18"/>
    </w:rPr>
  </w:style>
  <w:style w:type="paragraph" w:customStyle="1" w:styleId="Body">
    <w:name w:val="Body"/>
    <w:rsid w:val="00C968B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DA5D3A"/>
  </w:style>
  <w:style w:type="character" w:customStyle="1" w:styleId="FootnoteTextChar">
    <w:name w:val="Footnote Text Char"/>
    <w:basedOn w:val="DefaultParagraphFont"/>
    <w:link w:val="FootnoteText"/>
    <w:uiPriority w:val="99"/>
    <w:rsid w:val="00DA5D3A"/>
  </w:style>
  <w:style w:type="character" w:styleId="FootnoteReference">
    <w:name w:val="footnote reference"/>
    <w:basedOn w:val="DefaultParagraphFont"/>
    <w:uiPriority w:val="99"/>
    <w:unhideWhenUsed/>
    <w:rsid w:val="00DA5D3A"/>
    <w:rPr>
      <w:vertAlign w:val="superscript"/>
    </w:rPr>
  </w:style>
  <w:style w:type="table" w:styleId="TableGrid">
    <w:name w:val="Table Grid"/>
    <w:basedOn w:val="TableNormal"/>
    <w:uiPriority w:val="59"/>
    <w:rsid w:val="00D0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4081">
      <w:bodyDiv w:val="1"/>
      <w:marLeft w:val="0"/>
      <w:marRight w:val="0"/>
      <w:marTop w:val="0"/>
      <w:marBottom w:val="0"/>
      <w:divBdr>
        <w:top w:val="none" w:sz="0" w:space="0" w:color="auto"/>
        <w:left w:val="none" w:sz="0" w:space="0" w:color="auto"/>
        <w:bottom w:val="none" w:sz="0" w:space="0" w:color="auto"/>
        <w:right w:val="none" w:sz="0" w:space="0" w:color="auto"/>
      </w:divBdr>
    </w:div>
    <w:div w:id="740834687">
      <w:bodyDiv w:val="1"/>
      <w:marLeft w:val="0"/>
      <w:marRight w:val="0"/>
      <w:marTop w:val="0"/>
      <w:marBottom w:val="0"/>
      <w:divBdr>
        <w:top w:val="none" w:sz="0" w:space="0" w:color="auto"/>
        <w:left w:val="none" w:sz="0" w:space="0" w:color="auto"/>
        <w:bottom w:val="none" w:sz="0" w:space="0" w:color="auto"/>
        <w:right w:val="none" w:sz="0" w:space="0" w:color="auto"/>
      </w:divBdr>
    </w:div>
    <w:div w:id="894586613">
      <w:bodyDiv w:val="1"/>
      <w:marLeft w:val="0"/>
      <w:marRight w:val="0"/>
      <w:marTop w:val="0"/>
      <w:marBottom w:val="0"/>
      <w:divBdr>
        <w:top w:val="none" w:sz="0" w:space="0" w:color="auto"/>
        <w:left w:val="none" w:sz="0" w:space="0" w:color="auto"/>
        <w:bottom w:val="none" w:sz="0" w:space="0" w:color="auto"/>
        <w:right w:val="none" w:sz="0" w:space="0" w:color="auto"/>
      </w:divBdr>
    </w:div>
    <w:div w:id="985162136">
      <w:bodyDiv w:val="1"/>
      <w:marLeft w:val="0"/>
      <w:marRight w:val="0"/>
      <w:marTop w:val="0"/>
      <w:marBottom w:val="0"/>
      <w:divBdr>
        <w:top w:val="none" w:sz="0" w:space="0" w:color="auto"/>
        <w:left w:val="none" w:sz="0" w:space="0" w:color="auto"/>
        <w:bottom w:val="none" w:sz="0" w:space="0" w:color="auto"/>
        <w:right w:val="none" w:sz="0" w:space="0" w:color="auto"/>
      </w:divBdr>
    </w:div>
    <w:div w:id="19930967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1" Type="http://schemas.openxmlformats.org/officeDocument/2006/relationships/image" Target="media/image14.jpg"/><Relationship Id="rId22" Type="http://schemas.openxmlformats.org/officeDocument/2006/relationships/image" Target="media/image15.png"/><Relationship Id="rId23" Type="http://schemas.openxmlformats.org/officeDocument/2006/relationships/image" Target="media/image110.png"/><Relationship Id="rId24" Type="http://schemas.openxmlformats.org/officeDocument/2006/relationships/image" Target="media/image120.png"/><Relationship Id="rId25" Type="http://schemas.openxmlformats.org/officeDocument/2006/relationships/image" Target="media/image130.png"/><Relationship Id="rId26" Type="http://schemas.openxmlformats.org/officeDocument/2006/relationships/image" Target="media/image140.jpg"/><Relationship Id="rId27" Type="http://schemas.openxmlformats.org/officeDocument/2006/relationships/image" Target="media/image150.png"/><Relationship Id="rId28" Type="http://schemas.openxmlformats.org/officeDocument/2006/relationships/chart" Target="charts/chart3.xml"/><Relationship Id="rId29" Type="http://schemas.openxmlformats.org/officeDocument/2006/relationships/image" Target="media/image16.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7.jpeg"/><Relationship Id="rId31" Type="http://schemas.openxmlformats.org/officeDocument/2006/relationships/image" Target="media/image18.jpeg"/><Relationship Id="rId32" Type="http://schemas.openxmlformats.org/officeDocument/2006/relationships/image" Target="media/image19.jpeg"/><Relationship Id="rId9" Type="http://schemas.openxmlformats.org/officeDocument/2006/relationships/image" Target="media/image2.png"/><Relationship Id="rId6" Type="http://schemas.openxmlformats.org/officeDocument/2006/relationships/endnotes" Target="endnotes.xml"/><Relationship Id="rId7" Type="http://schemas.openxmlformats.org/officeDocument/2006/relationships/hyperlink" Target="http://search.proquest.com/docview/421631493?accountid=13894" TargetMode="External"/><Relationship Id="rId8" Type="http://schemas.openxmlformats.org/officeDocument/2006/relationships/image" Target="media/image1.png"/><Relationship Id="rId33" Type="http://schemas.openxmlformats.org/officeDocument/2006/relationships/image" Target="media/image160.jpeg"/><Relationship Id="rId34" Type="http://schemas.openxmlformats.org/officeDocument/2006/relationships/image" Target="media/image170.jpeg"/><Relationship Id="rId35" Type="http://schemas.openxmlformats.org/officeDocument/2006/relationships/image" Target="media/image180.jpeg"/><Relationship Id="rId36" Type="http://schemas.openxmlformats.org/officeDocument/2006/relationships/image" Target="media/image190.jpeg"/><Relationship Id="rId10" Type="http://schemas.openxmlformats.org/officeDocument/2006/relationships/chart" Target="charts/chart1.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chart" Target="charts/chart2.xml"/><Relationship Id="rId14" Type="http://schemas.openxmlformats.org/officeDocument/2006/relationships/image" Target="media/image7.pn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37" Type="http://schemas.openxmlformats.org/officeDocument/2006/relationships/chart" Target="charts/chart4.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ataliemckeon:Downloads:Copy%20of%20NATAL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2" TargetMode="External"/><Relationship Id="rId2"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ataliemckeon:Downloads:survey%20upda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ataliemckeon:Downloads:survey%20upd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50" baseline="0">
                <a:solidFill>
                  <a:schemeClr val="tx1"/>
                </a:solidFill>
                <a:latin typeface="+mn-lt"/>
                <a:ea typeface="+mn-ea"/>
                <a:cs typeface="+mn-cs"/>
              </a:defRPr>
            </a:pPr>
            <a:r>
              <a:rPr lang="en-US" sz="1500">
                <a:solidFill>
                  <a:schemeClr val="tx1"/>
                </a:solidFill>
              </a:rPr>
              <a:t>millennial groups</a:t>
            </a:r>
          </a:p>
        </c:rich>
      </c:tx>
      <c:layout/>
      <c:overlay val="0"/>
      <c:spPr>
        <a:noFill/>
        <a:ln>
          <a:noFill/>
        </a:ln>
        <a:effectLst/>
      </c:spPr>
    </c:title>
    <c:autoTitleDeleted val="0"/>
    <c:plotArea>
      <c:layout>
        <c:manualLayout>
          <c:layoutTarget val="inner"/>
          <c:xMode val="edge"/>
          <c:yMode val="edge"/>
          <c:x val="0.264092686943544"/>
          <c:y val="0.2692706593494"/>
          <c:w val="0.454022181050898"/>
          <c:h val="0.701670643442297"/>
        </c:manualLayout>
      </c:layout>
      <c:pieChart>
        <c:varyColors val="1"/>
        <c:ser>
          <c:idx val="0"/>
          <c:order val="0"/>
          <c:spPr>
            <a:solidFill>
              <a:schemeClr val="bg2">
                <a:lumMod val="50000"/>
              </a:schemeClr>
            </a:solidFill>
          </c:spPr>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3">
                  <a:lumMod val="75000"/>
                </a:schemeClr>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20148634198503"/>
                  <c:y val="-0.0503682779562868"/>
                </c:manualLayout>
              </c:layout>
              <c:tx>
                <c:rich>
                  <a:bodyPr/>
                  <a:lstStyle/>
                  <a:p>
                    <a:r>
                      <a:rPr lang="en-US" sz="1400"/>
                      <a:t>54.50%</a:t>
                    </a:r>
                  </a:p>
                </c:rich>
              </c:tx>
              <c:dLblPos val="bestFit"/>
              <c:showLegendKey val="0"/>
              <c:showVal val="0"/>
              <c:showCatName val="0"/>
              <c:showSerName val="0"/>
              <c:showPercent val="1"/>
              <c:showBubbleSize val="0"/>
            </c:dLbl>
            <c:dLbl>
              <c:idx val="1"/>
              <c:layout>
                <c:manualLayout>
                  <c:x val="0.221177213959366"/>
                  <c:y val="0.0412217082730129"/>
                </c:manualLayout>
              </c:layout>
              <c:tx>
                <c:rich>
                  <a:bodyPr/>
                  <a:lstStyle/>
                  <a:p>
                    <a:r>
                      <a:rPr lang="en-US" sz="1400"/>
                      <a:t>45.40%</a:t>
                    </a:r>
                  </a:p>
                </c:rich>
              </c:tx>
              <c:dLblPos val="bestFit"/>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Sheet4!$A$5:$A$6</c:f>
              <c:strCache>
                <c:ptCount val="2"/>
                <c:pt idx="0">
                  <c:v>Non-Environmentalists </c:v>
                </c:pt>
                <c:pt idx="1">
                  <c:v>Environmentalists</c:v>
                </c:pt>
              </c:strCache>
            </c:strRef>
          </c:cat>
          <c:val>
            <c:numRef>
              <c:f>Sheet4!$B$5:$B$6</c:f>
              <c:numCache>
                <c:formatCode>0.00%</c:formatCode>
                <c:ptCount val="2"/>
                <c:pt idx="0">
                  <c:v>0.554</c:v>
                </c:pt>
                <c:pt idx="1">
                  <c:v>0.446</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51098818897638"/>
          <c:y val="0.171518647973881"/>
          <c:w val="0.690302165354331"/>
          <c:h val="0.0882879201075475"/>
        </c:manualLayout>
      </c:layout>
      <c:overlay val="0"/>
      <c:spPr>
        <a:solidFill>
          <a:schemeClr val="bg1">
            <a:lumMod val="75000"/>
          </a:schemeClr>
        </a:solidFill>
        <a:ln>
          <a:noFill/>
        </a:ln>
        <a:effectLst/>
      </c:spPr>
      <c:txPr>
        <a:bodyPr rot="0" spcFirstLastPara="1" vertOverflow="ellipsis" vert="horz" wrap="square" anchor="ctr" anchorCtr="1"/>
        <a:lstStyle/>
        <a:p>
          <a:pPr algn="ct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600"/>
              <a:t>Brand Loyalty:</a:t>
            </a:r>
            <a:r>
              <a:rPr lang="en-US" sz="1600" baseline="0"/>
              <a:t> Top 1st &amp; 2nd Choice</a:t>
            </a:r>
            <a:endParaRPr lang="en-US" sz="1600"/>
          </a:p>
        </c:rich>
      </c:tx>
      <c:layout/>
      <c:overlay val="0"/>
    </c:title>
    <c:autoTitleDeleted val="0"/>
    <c:plotArea>
      <c:layout>
        <c:manualLayout>
          <c:layoutTarget val="inner"/>
          <c:xMode val="edge"/>
          <c:yMode val="edge"/>
          <c:x val="0.0328282828282828"/>
          <c:y val="0.162037037037037"/>
          <c:w val="0.944444444444444"/>
          <c:h val="0.708630067074949"/>
        </c:manualLayout>
      </c:layout>
      <c:barChart>
        <c:barDir val="col"/>
        <c:grouping val="stacked"/>
        <c:varyColors val="0"/>
        <c:ser>
          <c:idx val="0"/>
          <c:order val="0"/>
          <c:tx>
            <c:strRef>
              <c:f>Sheet1!$D$85</c:f>
              <c:strCache>
                <c:ptCount val="1"/>
                <c:pt idx="0">
                  <c:v>1st</c:v>
                </c:pt>
              </c:strCache>
            </c:strRef>
          </c:tx>
          <c:spPr>
            <a:solidFill>
              <a:srgbClr val="FF4F0C"/>
            </a:solidFill>
          </c:spPr>
          <c:invertIfNegative val="0"/>
          <c:dPt>
            <c:idx val="0"/>
            <c:invertIfNegative val="0"/>
            <c:bubble3D val="0"/>
            <c:spPr>
              <a:solidFill>
                <a:srgbClr val="0000FF"/>
              </a:solidFill>
            </c:spPr>
          </c:dPt>
          <c:cat>
            <c:strRef>
              <c:f>Sheet1!$C$86:$C$87</c:f>
              <c:strCache>
                <c:ptCount val="2"/>
                <c:pt idx="0">
                  <c:v>Oreos </c:v>
                </c:pt>
                <c:pt idx="1">
                  <c:v>Tide</c:v>
                </c:pt>
              </c:strCache>
            </c:strRef>
          </c:cat>
          <c:val>
            <c:numRef>
              <c:f>Sheet1!$D$86:$D$87</c:f>
              <c:numCache>
                <c:formatCode>0.0%</c:formatCode>
                <c:ptCount val="2"/>
                <c:pt idx="0">
                  <c:v>0.682</c:v>
                </c:pt>
                <c:pt idx="1">
                  <c:v>0.563</c:v>
                </c:pt>
              </c:numCache>
            </c:numRef>
          </c:val>
        </c:ser>
        <c:ser>
          <c:idx val="1"/>
          <c:order val="1"/>
          <c:tx>
            <c:strRef>
              <c:f>Sheet1!$E$85</c:f>
              <c:strCache>
                <c:ptCount val="1"/>
                <c:pt idx="0">
                  <c:v>2nd</c:v>
                </c:pt>
              </c:strCache>
            </c:strRef>
          </c:tx>
          <c:invertIfNegative val="0"/>
          <c:dPt>
            <c:idx val="0"/>
            <c:invertIfNegative val="0"/>
            <c:bubble3D val="0"/>
            <c:spPr>
              <a:solidFill>
                <a:schemeClr val="tx2">
                  <a:lumMod val="40000"/>
                  <a:lumOff val="60000"/>
                </a:schemeClr>
              </a:solidFill>
            </c:spPr>
          </c:dPt>
          <c:dPt>
            <c:idx val="1"/>
            <c:invertIfNegative val="0"/>
            <c:bubble3D val="0"/>
            <c:spPr>
              <a:solidFill>
                <a:schemeClr val="accent6">
                  <a:lumMod val="60000"/>
                  <a:lumOff val="40000"/>
                </a:schemeClr>
              </a:solidFill>
            </c:spPr>
          </c:dPt>
          <c:cat>
            <c:strRef>
              <c:f>Sheet1!$C$86:$C$87</c:f>
              <c:strCache>
                <c:ptCount val="2"/>
                <c:pt idx="0">
                  <c:v>Oreos </c:v>
                </c:pt>
                <c:pt idx="1">
                  <c:v>Tide</c:v>
                </c:pt>
              </c:strCache>
            </c:strRef>
          </c:cat>
          <c:val>
            <c:numRef>
              <c:f>Sheet1!$E$86:$E$87</c:f>
              <c:numCache>
                <c:formatCode>0.0%</c:formatCode>
                <c:ptCount val="2"/>
                <c:pt idx="0">
                  <c:v>0.111</c:v>
                </c:pt>
                <c:pt idx="1">
                  <c:v>0.129</c:v>
                </c:pt>
              </c:numCache>
            </c:numRef>
          </c:val>
        </c:ser>
        <c:dLbls>
          <c:showLegendKey val="0"/>
          <c:showVal val="1"/>
          <c:showCatName val="0"/>
          <c:showSerName val="0"/>
          <c:showPercent val="0"/>
          <c:showBubbleSize val="0"/>
        </c:dLbls>
        <c:gapWidth val="75"/>
        <c:overlap val="100"/>
        <c:axId val="-2119954696"/>
        <c:axId val="-2119258792"/>
      </c:barChart>
      <c:catAx>
        <c:axId val="-2119954696"/>
        <c:scaling>
          <c:orientation val="minMax"/>
        </c:scaling>
        <c:delete val="0"/>
        <c:axPos val="b"/>
        <c:majorTickMark val="none"/>
        <c:minorTickMark val="none"/>
        <c:tickLblPos val="nextTo"/>
        <c:crossAx val="-2119258792"/>
        <c:crosses val="autoZero"/>
        <c:auto val="1"/>
        <c:lblAlgn val="ctr"/>
        <c:lblOffset val="100"/>
        <c:noMultiLvlLbl val="0"/>
      </c:catAx>
      <c:valAx>
        <c:axId val="-2119258792"/>
        <c:scaling>
          <c:orientation val="minMax"/>
        </c:scaling>
        <c:delete val="1"/>
        <c:axPos val="l"/>
        <c:numFmt formatCode="0.0%" sourceLinked="1"/>
        <c:majorTickMark val="none"/>
        <c:minorTickMark val="none"/>
        <c:tickLblPos val="nextTo"/>
        <c:crossAx val="-211995469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certified</a:t>
            </a:r>
            <a:r>
              <a:rPr lang="en-US" baseline="0"/>
              <a:t> labels</a:t>
            </a:r>
            <a:endParaRPr lang="en-US"/>
          </a:p>
        </c:rich>
      </c:tx>
      <c:layout>
        <c:manualLayout>
          <c:xMode val="edge"/>
          <c:yMode val="edge"/>
          <c:x val="0.33764354798116"/>
          <c:y val="0.0"/>
        </c:manualLayout>
      </c:layout>
      <c:overlay val="0"/>
      <c:spPr>
        <a:noFill/>
        <a:ln>
          <a:noFill/>
        </a:ln>
        <a:effectLst/>
      </c:spPr>
    </c:title>
    <c:autoTitleDeleted val="0"/>
    <c:plotArea>
      <c:layout>
        <c:manualLayout>
          <c:layoutTarget val="inner"/>
          <c:xMode val="edge"/>
          <c:yMode val="edge"/>
          <c:x val="0.213248733744495"/>
          <c:y val="0.208165183950152"/>
          <c:w val="0.786751266255505"/>
          <c:h val="0.766386958585354"/>
        </c:manualLayout>
      </c:layout>
      <c:barChart>
        <c:barDir val="bar"/>
        <c:grouping val="percentStacked"/>
        <c:varyColors val="0"/>
        <c:ser>
          <c:idx val="0"/>
          <c:order val="0"/>
          <c:tx>
            <c:strRef>
              <c:f>Sheet1!$J$33</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Sheet1!$I$34:$I$38</c:f>
              <c:strCache>
                <c:ptCount val="5"/>
                <c:pt idx="0">
                  <c:v>Green Seal Certified </c:v>
                </c:pt>
                <c:pt idx="1">
                  <c:v>USDA</c:v>
                </c:pt>
                <c:pt idx="2">
                  <c:v>Energy Star</c:v>
                </c:pt>
                <c:pt idx="3">
                  <c:v>Marine Stewardship Council</c:v>
                </c:pt>
                <c:pt idx="4">
                  <c:v>Animal Free Testing </c:v>
                </c:pt>
              </c:strCache>
            </c:strRef>
          </c:cat>
          <c:val>
            <c:numRef>
              <c:f>Sheet1!$J$34:$J$38</c:f>
              <c:numCache>
                <c:formatCode>0.0%</c:formatCode>
                <c:ptCount val="5"/>
                <c:pt idx="0">
                  <c:v>0.117</c:v>
                </c:pt>
                <c:pt idx="1">
                  <c:v>0.277</c:v>
                </c:pt>
                <c:pt idx="2">
                  <c:v>0.168</c:v>
                </c:pt>
                <c:pt idx="3">
                  <c:v>0.054</c:v>
                </c:pt>
                <c:pt idx="4">
                  <c:v>0.054</c:v>
                </c:pt>
              </c:numCache>
            </c:numRef>
          </c:val>
        </c:ser>
        <c:ser>
          <c:idx val="1"/>
          <c:order val="1"/>
          <c:tx>
            <c:strRef>
              <c:f>Sheet1!$K$33</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Sheet1!$I$34:$I$38</c:f>
              <c:strCache>
                <c:ptCount val="5"/>
                <c:pt idx="0">
                  <c:v>Green Seal Certified </c:v>
                </c:pt>
                <c:pt idx="1">
                  <c:v>USDA</c:v>
                </c:pt>
                <c:pt idx="2">
                  <c:v>Energy Star</c:v>
                </c:pt>
                <c:pt idx="3">
                  <c:v>Marine Stewardship Council</c:v>
                </c:pt>
                <c:pt idx="4">
                  <c:v>Animal Free Testing </c:v>
                </c:pt>
              </c:strCache>
            </c:strRef>
          </c:cat>
          <c:val>
            <c:numRef>
              <c:f>Sheet1!$K$34:$K$38</c:f>
              <c:numCache>
                <c:formatCode>0.0%</c:formatCode>
                <c:ptCount val="5"/>
                <c:pt idx="0">
                  <c:v>0.303</c:v>
                </c:pt>
                <c:pt idx="1">
                  <c:v>0.41</c:v>
                </c:pt>
                <c:pt idx="2">
                  <c:v>0.369</c:v>
                </c:pt>
                <c:pt idx="3">
                  <c:v>0.1215</c:v>
                </c:pt>
                <c:pt idx="4">
                  <c:v>0.114</c:v>
                </c:pt>
              </c:numCache>
            </c:numRef>
          </c:val>
        </c:ser>
        <c:ser>
          <c:idx val="2"/>
          <c:order val="2"/>
          <c:tx>
            <c:strRef>
              <c:f>Sheet1!$L$33</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Sheet1!$I$34:$I$38</c:f>
              <c:strCache>
                <c:ptCount val="5"/>
                <c:pt idx="0">
                  <c:v>Green Seal Certified </c:v>
                </c:pt>
                <c:pt idx="1">
                  <c:v>USDA</c:v>
                </c:pt>
                <c:pt idx="2">
                  <c:v>Energy Star</c:v>
                </c:pt>
                <c:pt idx="3">
                  <c:v>Marine Stewardship Council</c:v>
                </c:pt>
                <c:pt idx="4">
                  <c:v>Animal Free Testing </c:v>
                </c:pt>
              </c:strCache>
            </c:strRef>
          </c:cat>
          <c:val>
            <c:numRef>
              <c:f>Sheet1!$L$34:$L$38</c:f>
              <c:numCache>
                <c:formatCode>0.0%</c:formatCode>
                <c:ptCount val="5"/>
                <c:pt idx="0">
                  <c:v>0.253</c:v>
                </c:pt>
                <c:pt idx="1">
                  <c:v>0.16</c:v>
                </c:pt>
                <c:pt idx="2">
                  <c:v>0.268</c:v>
                </c:pt>
                <c:pt idx="3">
                  <c:v>0.33</c:v>
                </c:pt>
                <c:pt idx="4">
                  <c:v>0.281</c:v>
                </c:pt>
              </c:numCache>
            </c:numRef>
          </c:val>
        </c:ser>
        <c:ser>
          <c:idx val="3"/>
          <c:order val="3"/>
          <c:tx>
            <c:strRef>
              <c:f>Sheet1!$M$33</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Sheet1!$I$34:$I$38</c:f>
              <c:strCache>
                <c:ptCount val="5"/>
                <c:pt idx="0">
                  <c:v>Green Seal Certified </c:v>
                </c:pt>
                <c:pt idx="1">
                  <c:v>USDA</c:v>
                </c:pt>
                <c:pt idx="2">
                  <c:v>Energy Star</c:v>
                </c:pt>
                <c:pt idx="3">
                  <c:v>Marine Stewardship Council</c:v>
                </c:pt>
                <c:pt idx="4">
                  <c:v>Animal Free Testing </c:v>
                </c:pt>
              </c:strCache>
            </c:strRef>
          </c:cat>
          <c:val>
            <c:numRef>
              <c:f>Sheet1!$M$34:$M$38</c:f>
              <c:numCache>
                <c:formatCode>0.0%</c:formatCode>
                <c:ptCount val="5"/>
                <c:pt idx="0">
                  <c:v>0.077</c:v>
                </c:pt>
                <c:pt idx="1">
                  <c:v>0.073</c:v>
                </c:pt>
                <c:pt idx="2">
                  <c:v>0.074</c:v>
                </c:pt>
                <c:pt idx="3">
                  <c:v>0.108</c:v>
                </c:pt>
                <c:pt idx="4">
                  <c:v>0.127</c:v>
                </c:pt>
              </c:numCache>
            </c:numRef>
          </c:val>
        </c:ser>
        <c:ser>
          <c:idx val="4"/>
          <c:order val="4"/>
          <c:tx>
            <c:strRef>
              <c:f>Sheet1!$N$33</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Sheet1!$I$34:$I$38</c:f>
              <c:strCache>
                <c:ptCount val="5"/>
                <c:pt idx="0">
                  <c:v>Green Seal Certified </c:v>
                </c:pt>
                <c:pt idx="1">
                  <c:v>USDA</c:v>
                </c:pt>
                <c:pt idx="2">
                  <c:v>Energy Star</c:v>
                </c:pt>
                <c:pt idx="3">
                  <c:v>Marine Stewardship Council</c:v>
                </c:pt>
                <c:pt idx="4">
                  <c:v>Animal Free Testing </c:v>
                </c:pt>
              </c:strCache>
            </c:strRef>
          </c:cat>
          <c:val>
            <c:numRef>
              <c:f>Sheet1!$N$34:$N$38</c:f>
              <c:numCache>
                <c:formatCode>0.0%</c:formatCode>
                <c:ptCount val="5"/>
                <c:pt idx="0">
                  <c:v>0.017</c:v>
                </c:pt>
                <c:pt idx="1">
                  <c:v>0.027</c:v>
                </c:pt>
                <c:pt idx="2">
                  <c:v>0.023</c:v>
                </c:pt>
                <c:pt idx="3">
                  <c:v>0.024</c:v>
                </c:pt>
                <c:pt idx="4">
                  <c:v>0.057</c:v>
                </c:pt>
              </c:numCache>
            </c:numRef>
          </c:val>
        </c:ser>
        <c:ser>
          <c:idx val="5"/>
          <c:order val="5"/>
          <c:tx>
            <c:strRef>
              <c:f>Sheet1!$O$33</c:f>
              <c:strCache>
                <c:ptCount val="1"/>
                <c:pt idx="0">
                  <c:v>Don't Know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Sheet1!$I$34:$I$38</c:f>
              <c:strCache>
                <c:ptCount val="5"/>
                <c:pt idx="0">
                  <c:v>Green Seal Certified </c:v>
                </c:pt>
                <c:pt idx="1">
                  <c:v>USDA</c:v>
                </c:pt>
                <c:pt idx="2">
                  <c:v>Energy Star</c:v>
                </c:pt>
                <c:pt idx="3">
                  <c:v>Marine Stewardship Council</c:v>
                </c:pt>
                <c:pt idx="4">
                  <c:v>Animal Free Testing </c:v>
                </c:pt>
              </c:strCache>
            </c:strRef>
          </c:cat>
          <c:val>
            <c:numRef>
              <c:f>Sheet1!$O$34:$O$38</c:f>
              <c:numCache>
                <c:formatCode>0.0%</c:formatCode>
                <c:ptCount val="5"/>
                <c:pt idx="0">
                  <c:v>0.233</c:v>
                </c:pt>
                <c:pt idx="1">
                  <c:v>0.053</c:v>
                </c:pt>
                <c:pt idx="2">
                  <c:v>0.097</c:v>
                </c:pt>
                <c:pt idx="3">
                  <c:v>0.364</c:v>
                </c:pt>
                <c:pt idx="4">
                  <c:v>0.368</c:v>
                </c:pt>
              </c:numCache>
            </c:numRef>
          </c:val>
        </c:ser>
        <c:dLbls>
          <c:dLblPos val="ctr"/>
          <c:showLegendKey val="0"/>
          <c:showVal val="1"/>
          <c:showCatName val="0"/>
          <c:showSerName val="0"/>
          <c:showPercent val="0"/>
          <c:showBubbleSize val="0"/>
        </c:dLbls>
        <c:gapWidth val="79"/>
        <c:overlap val="100"/>
        <c:axId val="-2119077240"/>
        <c:axId val="-2118942024"/>
      </c:barChart>
      <c:catAx>
        <c:axId val="-2119077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18942024"/>
        <c:crosses val="autoZero"/>
        <c:auto val="1"/>
        <c:lblAlgn val="ctr"/>
        <c:lblOffset val="100"/>
        <c:noMultiLvlLbl val="0"/>
      </c:catAx>
      <c:valAx>
        <c:axId val="-2118942024"/>
        <c:scaling>
          <c:orientation val="minMax"/>
        </c:scaling>
        <c:delete val="1"/>
        <c:axPos val="b"/>
        <c:numFmt formatCode="0%" sourceLinked="1"/>
        <c:majorTickMark val="none"/>
        <c:minorTickMark val="none"/>
        <c:tickLblPos val="nextTo"/>
        <c:crossAx val="-2119077240"/>
        <c:crosses val="autoZero"/>
        <c:crossBetween val="between"/>
      </c:valAx>
      <c:spPr>
        <a:noFill/>
        <a:ln>
          <a:noFill/>
        </a:ln>
        <a:effectLst/>
      </c:spPr>
    </c:plotArea>
    <c:legend>
      <c:legendPos val="t"/>
      <c:layout>
        <c:manualLayout>
          <c:xMode val="edge"/>
          <c:yMode val="edge"/>
          <c:x val="0.0942749793262143"/>
          <c:y val="0.12"/>
          <c:w val="0.811450041347571"/>
          <c:h val="0.08029887753392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ct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Greenwashed labels</a:t>
            </a:r>
          </a:p>
        </c:rich>
      </c:tx>
      <c:layout/>
      <c:overlay val="0"/>
      <c:spPr>
        <a:noFill/>
        <a:ln>
          <a:noFill/>
        </a:ln>
        <a:effectLst/>
      </c:spPr>
    </c:title>
    <c:autoTitleDeleted val="0"/>
    <c:plotArea>
      <c:layout>
        <c:manualLayout>
          <c:layoutTarget val="inner"/>
          <c:xMode val="edge"/>
          <c:yMode val="edge"/>
          <c:x val="0.161054768153981"/>
          <c:y val="0.257923884514436"/>
          <c:w val="0.838945231846019"/>
          <c:h val="0.693927967337416"/>
        </c:manualLayout>
      </c:layout>
      <c:barChart>
        <c:barDir val="bar"/>
        <c:grouping val="stacked"/>
        <c:varyColors val="0"/>
        <c:ser>
          <c:idx val="0"/>
          <c:order val="0"/>
          <c:tx>
            <c:strRef>
              <c:f>Sheet1!$A$44</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Sheet1!$B$43:$E$43</c:f>
              <c:strCache>
                <c:ptCount val="4"/>
                <c:pt idx="0">
                  <c:v>Greenlist</c:v>
                </c:pt>
                <c:pt idx="1">
                  <c:v>100% Natural </c:v>
                </c:pt>
                <c:pt idx="2">
                  <c:v>Eco-Friendly</c:v>
                </c:pt>
                <c:pt idx="3">
                  <c:v>Recycle Symbol</c:v>
                </c:pt>
              </c:strCache>
            </c:strRef>
          </c:cat>
          <c:val>
            <c:numRef>
              <c:f>Sheet1!$B$44:$E$44</c:f>
              <c:numCache>
                <c:formatCode>0.0%</c:formatCode>
                <c:ptCount val="4"/>
                <c:pt idx="0">
                  <c:v>0.107</c:v>
                </c:pt>
                <c:pt idx="1">
                  <c:v>0.057</c:v>
                </c:pt>
                <c:pt idx="2">
                  <c:v>0.131</c:v>
                </c:pt>
                <c:pt idx="3">
                  <c:v>0.09</c:v>
                </c:pt>
              </c:numCache>
            </c:numRef>
          </c:val>
        </c:ser>
        <c:ser>
          <c:idx val="1"/>
          <c:order val="1"/>
          <c:tx>
            <c:strRef>
              <c:f>Sheet1!$A$45</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Sheet1!$B$43:$E$43</c:f>
              <c:strCache>
                <c:ptCount val="4"/>
                <c:pt idx="0">
                  <c:v>Greenlist</c:v>
                </c:pt>
                <c:pt idx="1">
                  <c:v>100% Natural </c:v>
                </c:pt>
                <c:pt idx="2">
                  <c:v>Eco-Friendly</c:v>
                </c:pt>
                <c:pt idx="3">
                  <c:v>Recycle Symbol</c:v>
                </c:pt>
              </c:strCache>
            </c:strRef>
          </c:cat>
          <c:val>
            <c:numRef>
              <c:f>Sheet1!$B$45:$E$45</c:f>
              <c:numCache>
                <c:formatCode>0.0%</c:formatCode>
                <c:ptCount val="4"/>
                <c:pt idx="0">
                  <c:v>0.3</c:v>
                </c:pt>
                <c:pt idx="1">
                  <c:v>0.235</c:v>
                </c:pt>
                <c:pt idx="2">
                  <c:v>0.339</c:v>
                </c:pt>
                <c:pt idx="3">
                  <c:v>0.291</c:v>
                </c:pt>
              </c:numCache>
            </c:numRef>
          </c:val>
        </c:ser>
        <c:ser>
          <c:idx val="2"/>
          <c:order val="2"/>
          <c:tx>
            <c:strRef>
              <c:f>Sheet1!$A$46</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Sheet1!$B$43:$E$43</c:f>
              <c:strCache>
                <c:ptCount val="4"/>
                <c:pt idx="0">
                  <c:v>Greenlist</c:v>
                </c:pt>
                <c:pt idx="1">
                  <c:v>100% Natural </c:v>
                </c:pt>
                <c:pt idx="2">
                  <c:v>Eco-Friendly</c:v>
                </c:pt>
                <c:pt idx="3">
                  <c:v>Recycle Symbol</c:v>
                </c:pt>
              </c:strCache>
            </c:strRef>
          </c:cat>
          <c:val>
            <c:numRef>
              <c:f>Sheet1!$B$46:$E$46</c:f>
              <c:numCache>
                <c:formatCode>0.0%</c:formatCode>
                <c:ptCount val="4"/>
                <c:pt idx="0">
                  <c:v>0.29</c:v>
                </c:pt>
                <c:pt idx="1">
                  <c:v>0.322</c:v>
                </c:pt>
                <c:pt idx="2">
                  <c:v>0.255</c:v>
                </c:pt>
                <c:pt idx="3">
                  <c:v>0.278</c:v>
                </c:pt>
              </c:numCache>
            </c:numRef>
          </c:val>
        </c:ser>
        <c:ser>
          <c:idx val="3"/>
          <c:order val="3"/>
          <c:tx>
            <c:strRef>
              <c:f>Sheet1!$A$47</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Sheet1!$B$43:$E$43</c:f>
              <c:strCache>
                <c:ptCount val="4"/>
                <c:pt idx="0">
                  <c:v>Greenlist</c:v>
                </c:pt>
                <c:pt idx="1">
                  <c:v>100% Natural </c:v>
                </c:pt>
                <c:pt idx="2">
                  <c:v>Eco-Friendly</c:v>
                </c:pt>
                <c:pt idx="3">
                  <c:v>Recycle Symbol</c:v>
                </c:pt>
              </c:strCache>
            </c:strRef>
          </c:cat>
          <c:val>
            <c:numRef>
              <c:f>Sheet1!$B$47:$E$47</c:f>
              <c:numCache>
                <c:formatCode>0.0%</c:formatCode>
                <c:ptCount val="4"/>
                <c:pt idx="0">
                  <c:v>0.07</c:v>
                </c:pt>
                <c:pt idx="1">
                  <c:v>0.077</c:v>
                </c:pt>
                <c:pt idx="2">
                  <c:v>0.087</c:v>
                </c:pt>
                <c:pt idx="3">
                  <c:v>0.117</c:v>
                </c:pt>
              </c:numCache>
            </c:numRef>
          </c:val>
        </c:ser>
        <c:ser>
          <c:idx val="4"/>
          <c:order val="4"/>
          <c:tx>
            <c:strRef>
              <c:f>Sheet1!$A$48</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Sheet1!$B$43:$E$43</c:f>
              <c:strCache>
                <c:ptCount val="4"/>
                <c:pt idx="0">
                  <c:v>Greenlist</c:v>
                </c:pt>
                <c:pt idx="1">
                  <c:v>100% Natural </c:v>
                </c:pt>
                <c:pt idx="2">
                  <c:v>Eco-Friendly</c:v>
                </c:pt>
                <c:pt idx="3">
                  <c:v>Recycle Symbol</c:v>
                </c:pt>
              </c:strCache>
            </c:strRef>
          </c:cat>
          <c:val>
            <c:numRef>
              <c:f>Sheet1!$B$48:$E$48</c:f>
              <c:numCache>
                <c:formatCode>0.0%</c:formatCode>
                <c:ptCount val="4"/>
                <c:pt idx="0">
                  <c:v>0.01</c:v>
                </c:pt>
                <c:pt idx="1">
                  <c:v>0.054</c:v>
                </c:pt>
                <c:pt idx="2">
                  <c:v>0.007</c:v>
                </c:pt>
                <c:pt idx="3">
                  <c:v>0.033</c:v>
                </c:pt>
              </c:numCache>
            </c:numRef>
          </c:val>
        </c:ser>
        <c:ser>
          <c:idx val="5"/>
          <c:order val="5"/>
          <c:tx>
            <c:strRef>
              <c:f>Sheet1!$A$49</c:f>
              <c:strCache>
                <c:ptCount val="1"/>
                <c:pt idx="0">
                  <c:v>Don't Know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Sheet1!$B$43:$E$43</c:f>
              <c:strCache>
                <c:ptCount val="4"/>
                <c:pt idx="0">
                  <c:v>Greenlist</c:v>
                </c:pt>
                <c:pt idx="1">
                  <c:v>100% Natural </c:v>
                </c:pt>
                <c:pt idx="2">
                  <c:v>Eco-Friendly</c:v>
                </c:pt>
                <c:pt idx="3">
                  <c:v>Recycle Symbol</c:v>
                </c:pt>
              </c:strCache>
            </c:strRef>
          </c:cat>
          <c:val>
            <c:numRef>
              <c:f>Sheet1!$B$49:$E$49</c:f>
              <c:numCache>
                <c:formatCode>0.0%</c:formatCode>
                <c:ptCount val="4"/>
                <c:pt idx="0">
                  <c:v>0.223</c:v>
                </c:pt>
                <c:pt idx="1">
                  <c:v>0.255</c:v>
                </c:pt>
                <c:pt idx="2">
                  <c:v>0.181</c:v>
                </c:pt>
                <c:pt idx="3">
                  <c:v>0.191</c:v>
                </c:pt>
              </c:numCache>
            </c:numRef>
          </c:val>
        </c:ser>
        <c:dLbls>
          <c:dLblPos val="ctr"/>
          <c:showLegendKey val="0"/>
          <c:showVal val="1"/>
          <c:showCatName val="0"/>
          <c:showSerName val="0"/>
          <c:showPercent val="0"/>
          <c:showBubbleSize val="0"/>
        </c:dLbls>
        <c:gapWidth val="79"/>
        <c:overlap val="100"/>
        <c:axId val="-2124788536"/>
        <c:axId val="-2120567544"/>
      </c:barChart>
      <c:catAx>
        <c:axId val="-2124788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20567544"/>
        <c:crosses val="autoZero"/>
        <c:auto val="1"/>
        <c:lblAlgn val="ctr"/>
        <c:lblOffset val="100"/>
        <c:noMultiLvlLbl val="0"/>
      </c:catAx>
      <c:valAx>
        <c:axId val="-2120567544"/>
        <c:scaling>
          <c:orientation val="minMax"/>
        </c:scaling>
        <c:delete val="1"/>
        <c:axPos val="b"/>
        <c:numFmt formatCode="0.0%" sourceLinked="1"/>
        <c:majorTickMark val="none"/>
        <c:minorTickMark val="none"/>
        <c:tickLblPos val="nextTo"/>
        <c:crossAx val="-2124788536"/>
        <c:crosses val="autoZero"/>
        <c:crossBetween val="between"/>
      </c:valAx>
      <c:spPr>
        <a:noFill/>
        <a:ln>
          <a:noFill/>
        </a:ln>
        <a:effectLst/>
      </c:spPr>
    </c:plotArea>
    <c:legend>
      <c:legendPos val="t"/>
      <c:layout>
        <c:manualLayout>
          <c:xMode val="edge"/>
          <c:yMode val="edge"/>
          <c:x val="0.018884864391951"/>
          <c:y val="0.141481481481481"/>
          <c:w val="0.861115135608049"/>
          <c:h val="0.0682942548848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6.jpg"/></Relationships>
</file>

<file path=word/drawings/drawing1.xml><?xml version="1.0" encoding="utf-8"?>
<c:userShapes xmlns:c="http://schemas.openxmlformats.org/drawingml/2006/chart">
  <cdr:relSizeAnchor xmlns:cdr="http://schemas.openxmlformats.org/drawingml/2006/chartDrawing">
    <cdr:from>
      <cdr:x>0.40909</cdr:x>
      <cdr:y>0.6627</cdr:y>
    </cdr:from>
    <cdr:to>
      <cdr:x>0.57576</cdr:x>
      <cdr:y>0.86043</cdr:y>
    </cdr:to>
    <cdr:pic>
      <cdr:nvPicPr>
        <cdr:cNvPr id="2" name="Picture 1"/>
        <cdr:cNvPicPr/>
      </cdr:nvPicPr>
      <cdr:blipFill rotWithShape="1">
        <a:blip xmlns:a="http://schemas.openxmlformats.org/drawingml/2006/main" xmlns:r="http://schemas.openxmlformats.org/officeDocument/2006/relationships" r:embed="rId1"/>
        <a:srcRect xmlns:a="http://schemas.openxmlformats.org/drawingml/2006/main" l="6223" t="4762" r="6667" b="4762"/>
        <a:stretch xmlns:a="http://schemas.openxmlformats.org/drawingml/2006/main"/>
      </cdr:blipFill>
      <cdr:spPr>
        <a:xfrm xmlns:a="http://schemas.openxmlformats.org/drawingml/2006/main">
          <a:off x="2057400" y="1817914"/>
          <a:ext cx="838200" cy="542425"/>
        </a:xfrm>
        <a:prstGeom xmlns:a="http://schemas.openxmlformats.org/drawingml/2006/main" prst="rect">
          <a:avLst/>
        </a:prstGeom>
      </cdr:spPr>
    </cdr:pic>
  </cdr:relSizeAnchor>
  <cdr:relSizeAnchor xmlns:cdr="http://schemas.openxmlformats.org/drawingml/2006/chartDrawing">
    <cdr:from>
      <cdr:x>0.88636</cdr:x>
      <cdr:y>0.57936</cdr:y>
    </cdr:from>
    <cdr:to>
      <cdr:x>0.99784</cdr:x>
      <cdr:y>0.8844</cdr:y>
    </cdr:to>
    <cdr:pic>
      <cdr:nvPicPr>
        <cdr:cNvPr id="3" name="Picture 2"/>
        <cdr:cNvPicPr/>
      </cdr:nvPicPr>
      <cdr:blipFill rotWithShape="1">
        <a:blip xmlns:a="http://schemas.openxmlformats.org/drawingml/2006/main" xmlns:r="http://schemas.openxmlformats.org/officeDocument/2006/relationships" r:embed="rId2"/>
        <a:srcRect xmlns:a="http://schemas.openxmlformats.org/drawingml/2006/main" l="11430" t="6173" r="9841" b="-1074"/>
        <a:stretch xmlns:a="http://schemas.openxmlformats.org/drawingml/2006/main"/>
      </cdr:blipFill>
      <cdr:spPr>
        <a:xfrm xmlns:a="http://schemas.openxmlformats.org/drawingml/2006/main">
          <a:off x="4457700" y="1589314"/>
          <a:ext cx="560616" cy="836781"/>
        </a:xfrm>
        <a:prstGeom xmlns:a="http://schemas.openxmlformats.org/drawingml/2006/main" prst="rect">
          <a:avLst/>
        </a:prstGeom>
      </cdr:spPr>
    </cdr:pic>
  </cdr:relSizeAnchor>
  <cdr:relSizeAnchor xmlns:cdr="http://schemas.openxmlformats.org/drawingml/2006/chartDrawing">
    <cdr:from>
      <cdr:x>0.02273</cdr:x>
      <cdr:y>0.24603</cdr:y>
    </cdr:from>
    <cdr:to>
      <cdr:x>0.11364</cdr:x>
      <cdr:y>0.87103</cdr:y>
    </cdr:to>
    <cdr:sp macro="" textlink="">
      <cdr:nvSpPr>
        <cdr:cNvPr id="4" name="Text Box 3"/>
        <cdr:cNvSpPr txBox="1"/>
      </cdr:nvSpPr>
      <cdr:spPr>
        <a:xfrm xmlns:a="http://schemas.openxmlformats.org/drawingml/2006/main">
          <a:off x="114300" y="674914"/>
          <a:ext cx="457200" cy="1714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2nd</a:t>
          </a:r>
        </a:p>
        <a:p xmlns:a="http://schemas.openxmlformats.org/drawingml/2006/main">
          <a:endParaRPr lang="en-US" sz="900"/>
        </a:p>
        <a:p xmlns:a="http://schemas.openxmlformats.org/drawingml/2006/main">
          <a:r>
            <a:rPr lang="en-US" sz="900"/>
            <a:t>1st </a:t>
          </a:r>
        </a:p>
      </cdr:txBody>
    </cdr:sp>
  </cdr:relSizeAnchor>
  <cdr:relSizeAnchor xmlns:cdr="http://schemas.openxmlformats.org/drawingml/2006/chartDrawing">
    <cdr:from>
      <cdr:x>0.19709</cdr:x>
      <cdr:y>0.54717</cdr:y>
    </cdr:from>
    <cdr:to>
      <cdr:x>0.33598</cdr:x>
      <cdr:y>0.65713</cdr:y>
    </cdr:to>
    <cdr:sp macro="" textlink="">
      <cdr:nvSpPr>
        <cdr:cNvPr id="5" name="Text Box 4"/>
        <cdr:cNvSpPr txBox="1"/>
      </cdr:nvSpPr>
      <cdr:spPr>
        <a:xfrm xmlns:a="http://schemas.openxmlformats.org/drawingml/2006/main">
          <a:off x="810986" y="1137557"/>
          <a:ext cx="5715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0.66931</cdr:x>
      <cdr:y>0.60215</cdr:y>
    </cdr:from>
    <cdr:to>
      <cdr:x>0.83598</cdr:x>
      <cdr:y>0.7121</cdr:y>
    </cdr:to>
    <cdr:sp macro="" textlink="">
      <cdr:nvSpPr>
        <cdr:cNvPr id="6" name="Text Box 5"/>
        <cdr:cNvSpPr txBox="1"/>
      </cdr:nvSpPr>
      <cdr:spPr>
        <a:xfrm xmlns:a="http://schemas.openxmlformats.org/drawingml/2006/main">
          <a:off x="2754086" y="1251857"/>
          <a:ext cx="6858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8190</Words>
  <Characters>46689</Characters>
  <Application>Microsoft Macintosh Word</Application>
  <DocSecurity>0</DocSecurity>
  <Lines>389</Lines>
  <Paragraphs>109</Paragraphs>
  <ScaleCrop>false</ScaleCrop>
  <Company/>
  <LinksUpToDate>false</LinksUpToDate>
  <CharactersWithSpaces>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Love Dolan</dc:creator>
  <cp:keywords/>
  <dc:description/>
  <cp:lastModifiedBy>Elizabeth Love Dolan</cp:lastModifiedBy>
  <cp:revision>2</cp:revision>
  <dcterms:created xsi:type="dcterms:W3CDTF">2015-10-20T16:51:00Z</dcterms:created>
  <dcterms:modified xsi:type="dcterms:W3CDTF">2015-10-20T16:51:00Z</dcterms:modified>
</cp:coreProperties>
</file>