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8ED7" w14:textId="77777777" w:rsidR="007343D3" w:rsidRPr="00B2274C" w:rsidRDefault="007343D3" w:rsidP="0045527D">
      <w:pPr>
        <w:pStyle w:val="Title"/>
        <w:jc w:val="left"/>
        <w:rPr>
          <w:rFonts w:ascii="Times New Roman" w:hAnsi="Times New Roman"/>
          <w:szCs w:val="24"/>
        </w:rPr>
      </w:pPr>
    </w:p>
    <w:p w14:paraId="4D8EFAB3" w14:textId="77777777" w:rsidR="007343D3" w:rsidRPr="00B2274C" w:rsidRDefault="007343D3" w:rsidP="00536AD6">
      <w:pPr>
        <w:pStyle w:val="Title"/>
        <w:rPr>
          <w:rFonts w:ascii="Times New Roman" w:hAnsi="Times New Roman"/>
          <w:szCs w:val="24"/>
        </w:rPr>
      </w:pPr>
      <w:r w:rsidRPr="00B2274C">
        <w:rPr>
          <w:rFonts w:ascii="Times New Roman" w:hAnsi="Times New Roman"/>
          <w:noProof/>
          <w:szCs w:val="24"/>
          <w:lang w:val="en-US" w:eastAsia="en-US"/>
        </w:rPr>
        <w:drawing>
          <wp:inline distT="0" distB="0" distL="0" distR="0" wp14:anchorId="5786A578" wp14:editId="5CB7725E">
            <wp:extent cx="4358005" cy="2467674"/>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Rock_banner.jpg"/>
                    <pic:cNvPicPr/>
                  </pic:nvPicPr>
                  <pic:blipFill>
                    <a:blip r:embed="rId7">
                      <a:extLst>
                        <a:ext uri="{28A0092B-C50C-407E-A947-70E740481C1C}">
                          <a14:useLocalDpi xmlns:a14="http://schemas.microsoft.com/office/drawing/2010/main" val="0"/>
                        </a:ext>
                      </a:extLst>
                    </a:blip>
                    <a:stretch>
                      <a:fillRect/>
                    </a:stretch>
                  </pic:blipFill>
                  <pic:spPr>
                    <a:xfrm>
                      <a:off x="0" y="0"/>
                      <a:ext cx="4359128" cy="2468310"/>
                    </a:xfrm>
                    <a:prstGeom prst="rect">
                      <a:avLst/>
                    </a:prstGeom>
                  </pic:spPr>
                </pic:pic>
              </a:graphicData>
            </a:graphic>
          </wp:inline>
        </w:drawing>
      </w:r>
    </w:p>
    <w:p w14:paraId="55FF5BCD" w14:textId="77777777" w:rsidR="007343D3" w:rsidRPr="00B2274C" w:rsidRDefault="007343D3" w:rsidP="00536AD6">
      <w:pPr>
        <w:pStyle w:val="Title"/>
        <w:rPr>
          <w:rFonts w:ascii="Times New Roman" w:hAnsi="Times New Roman"/>
          <w:szCs w:val="24"/>
        </w:rPr>
      </w:pPr>
    </w:p>
    <w:p w14:paraId="24F97BAA" w14:textId="01347F2C" w:rsidR="00536AD6" w:rsidRPr="00B2274C" w:rsidRDefault="00536AD6" w:rsidP="00536AD6">
      <w:pPr>
        <w:pStyle w:val="Title"/>
        <w:rPr>
          <w:rFonts w:ascii="Times New Roman" w:hAnsi="Times New Roman"/>
          <w:sz w:val="32"/>
          <w:szCs w:val="32"/>
        </w:rPr>
      </w:pPr>
      <w:r w:rsidRPr="00B2274C">
        <w:rPr>
          <w:rFonts w:ascii="Times New Roman" w:hAnsi="Times New Roman"/>
          <w:sz w:val="32"/>
          <w:szCs w:val="32"/>
        </w:rPr>
        <w:t>RE 225: Religion and Ecology</w:t>
      </w:r>
    </w:p>
    <w:p w14:paraId="1209E527" w14:textId="77777777" w:rsidR="00536AD6" w:rsidRPr="00B2274C" w:rsidRDefault="00536AD6" w:rsidP="00536AD6">
      <w:pPr>
        <w:jc w:val="center"/>
      </w:pPr>
    </w:p>
    <w:p w14:paraId="20A8CC15" w14:textId="51CCFFD3" w:rsidR="00536AD6" w:rsidRPr="00B2274C" w:rsidRDefault="00536AD6" w:rsidP="00536AD6">
      <w:r w:rsidRPr="00B2274C">
        <w:t>Dr. Eliza Kent</w:t>
      </w:r>
      <w:r w:rsidRPr="00B2274C">
        <w:tab/>
      </w:r>
      <w:r w:rsidRPr="00B2274C">
        <w:tab/>
      </w:r>
      <w:r w:rsidRPr="00B2274C">
        <w:tab/>
      </w:r>
      <w:r w:rsidRPr="00B2274C">
        <w:tab/>
      </w:r>
      <w:r w:rsidRPr="00B2274C">
        <w:tab/>
      </w:r>
      <w:r w:rsidRPr="00B2274C">
        <w:tab/>
      </w:r>
      <w:r w:rsidRPr="00B2274C">
        <w:tab/>
      </w:r>
      <w:r w:rsidRPr="00B2274C">
        <w:tab/>
      </w:r>
      <w:r w:rsidR="002B4E0F" w:rsidRPr="00B2274C">
        <w:t>Spring 20</w:t>
      </w:r>
      <w:r w:rsidR="00AB35E6">
        <w:t>2</w:t>
      </w:r>
      <w:r w:rsidR="0013749F">
        <w:t>1</w:t>
      </w:r>
    </w:p>
    <w:p w14:paraId="06A9FCFA" w14:textId="38C9633C" w:rsidR="00536AD6" w:rsidRPr="00B2274C" w:rsidRDefault="00536AD6" w:rsidP="00536AD6">
      <w:r w:rsidRPr="00B2274C">
        <w:t xml:space="preserve">Office: </w:t>
      </w:r>
      <w:r w:rsidR="00597E60" w:rsidRPr="00B2274C">
        <w:t>Ladd 209</w:t>
      </w:r>
      <w:r w:rsidRPr="00B2274C">
        <w:tab/>
      </w:r>
      <w:r w:rsidRPr="00B2274C">
        <w:tab/>
      </w:r>
      <w:r w:rsidRPr="00B2274C">
        <w:tab/>
      </w:r>
      <w:r w:rsidRPr="00B2274C">
        <w:tab/>
      </w:r>
      <w:r w:rsidRPr="00B2274C">
        <w:tab/>
      </w:r>
      <w:r w:rsidRPr="00B2274C">
        <w:tab/>
      </w:r>
      <w:r w:rsidRPr="00B2274C">
        <w:tab/>
      </w:r>
      <w:r w:rsidR="0013749F">
        <w:t>TR</w:t>
      </w:r>
      <w:r w:rsidR="00AD4EAA">
        <w:t xml:space="preserve"> 11:30-12:50</w:t>
      </w:r>
    </w:p>
    <w:p w14:paraId="425AB0E7" w14:textId="09458BD0" w:rsidR="00536AD6" w:rsidRPr="00B2274C" w:rsidRDefault="00536AD6" w:rsidP="00536AD6">
      <w:pPr>
        <w:ind w:right="-270"/>
      </w:pPr>
      <w:r w:rsidRPr="00B2274C">
        <w:t xml:space="preserve">Office phone: </w:t>
      </w:r>
      <w:r w:rsidRPr="00B2274C">
        <w:tab/>
        <w:t>580-5405</w:t>
      </w:r>
      <w:r w:rsidRPr="00B2274C">
        <w:tab/>
      </w:r>
      <w:r w:rsidRPr="00B2274C">
        <w:tab/>
      </w:r>
      <w:r w:rsidRPr="00B2274C">
        <w:tab/>
      </w:r>
      <w:r w:rsidRPr="00B2274C">
        <w:tab/>
      </w:r>
      <w:r w:rsidRPr="00B2274C">
        <w:tab/>
      </w:r>
      <w:r w:rsidRPr="00B2274C">
        <w:tab/>
      </w:r>
      <w:r w:rsidR="00AD4EAA">
        <w:t>Tang</w:t>
      </w:r>
      <w:r w:rsidR="00D442E2">
        <w:t xml:space="preserve"> </w:t>
      </w:r>
      <w:r w:rsidR="00AD4EAA">
        <w:t xml:space="preserve">- </w:t>
      </w:r>
      <w:proofErr w:type="spellStart"/>
      <w:r w:rsidR="00AD4EAA">
        <w:t>Wachenheim</w:t>
      </w:r>
      <w:proofErr w:type="spellEnd"/>
      <w:r w:rsidR="00AD4EAA">
        <w:t xml:space="preserve"> Gallery</w:t>
      </w:r>
    </w:p>
    <w:p w14:paraId="2C415C98" w14:textId="77069800" w:rsidR="00536AD6" w:rsidRPr="00B2274C" w:rsidRDefault="00536AD6" w:rsidP="00536AD6">
      <w:pPr>
        <w:ind w:right="-270"/>
      </w:pPr>
      <w:r w:rsidRPr="00B2274C">
        <w:t xml:space="preserve">Office hours: </w:t>
      </w:r>
      <w:r w:rsidRPr="00B2274C">
        <w:tab/>
      </w:r>
      <w:r w:rsidR="00AD4EAA">
        <w:t xml:space="preserve">Weds 10-12 </w:t>
      </w:r>
      <w:r w:rsidR="00AD4EAA">
        <w:tab/>
      </w:r>
      <w:r w:rsidR="00AD4EAA">
        <w:tab/>
      </w:r>
      <w:r w:rsidR="00AD4EAA">
        <w:tab/>
      </w:r>
      <w:r w:rsidRPr="00B2274C">
        <w:tab/>
      </w:r>
      <w:r w:rsidRPr="00B2274C">
        <w:tab/>
      </w:r>
      <w:r w:rsidRPr="00B2274C">
        <w:tab/>
        <w:t xml:space="preserve">ekent@skidmore.edu </w:t>
      </w:r>
    </w:p>
    <w:p w14:paraId="628A026B" w14:textId="77777777" w:rsidR="00536AD6" w:rsidRDefault="00536AD6" w:rsidP="00536AD6">
      <w:pPr>
        <w:ind w:right="-270"/>
      </w:pPr>
      <w:r w:rsidRPr="00B2274C">
        <w:t>and by appt.</w:t>
      </w:r>
    </w:p>
    <w:p w14:paraId="737E75B3" w14:textId="52924100" w:rsidR="007E2ACB" w:rsidRDefault="007E2ACB" w:rsidP="00536AD6">
      <w:pPr>
        <w:ind w:right="-270"/>
      </w:pPr>
    </w:p>
    <w:p w14:paraId="0E9309ED" w14:textId="5FA9E99E" w:rsidR="00231147" w:rsidRDefault="00231147" w:rsidP="00231147">
      <w:r>
        <w:t>“</w:t>
      </w:r>
      <w:r w:rsidRPr="00231147">
        <w:t>Adults keep saying we owe it to the young people to give them hope. But I don't want your hope, I don't want you to be hopeful. I want you to panic, I want you to feel the fear I feel every day. And then I want you to act, I want you to act as if you would in a crisis. I want you to act as if the house was on fire, because it is.</w:t>
      </w:r>
    </w:p>
    <w:p w14:paraId="14742EB7" w14:textId="7C8B34A1" w:rsidR="00231147" w:rsidRDefault="00231147" w:rsidP="00231147">
      <w:r>
        <w:tab/>
      </w:r>
      <w:r>
        <w:tab/>
        <w:t>--Greta Thunberg, speech at World Economic Forum at Davos (Jan. 22, 2019)</w:t>
      </w:r>
    </w:p>
    <w:p w14:paraId="036F067E" w14:textId="77777777" w:rsidR="00231147" w:rsidRPr="00231147" w:rsidRDefault="00231147" w:rsidP="00231147"/>
    <w:p w14:paraId="638B9C7C" w14:textId="77777777" w:rsidR="00536AD6" w:rsidRPr="00B2274C" w:rsidRDefault="00536AD6" w:rsidP="00536AD6"/>
    <w:p w14:paraId="401BB81A" w14:textId="7E2C7F49" w:rsidR="00536AD6" w:rsidRDefault="00536AD6">
      <w:r w:rsidRPr="00B2274C">
        <w:rPr>
          <w:b/>
        </w:rPr>
        <w:t>I. COURSE DESCRIPTION:</w:t>
      </w:r>
      <w:r w:rsidRPr="00B2274C">
        <w:t xml:space="preserve"> </w:t>
      </w:r>
      <w:r w:rsidR="00BD0BAA" w:rsidRPr="00B2274C">
        <w:t xml:space="preserve">An exploration of the critical connections between religion and the natural environment. How do religious beliefs, symbol systems, and ritual behaviors shape human perceptions of, and interactions with, the nonhuman environment? </w:t>
      </w:r>
      <w:r w:rsidR="00545267" w:rsidRPr="00B2274C">
        <w:t xml:space="preserve">How are </w:t>
      </w:r>
      <w:r w:rsidR="00277C0A">
        <w:t>people of faith</w:t>
      </w:r>
      <w:r w:rsidR="00545267" w:rsidRPr="00B2274C">
        <w:t xml:space="preserve"> revitalizing their inherited traditions to meet current environmental challenge</w:t>
      </w:r>
      <w:r w:rsidR="007343D3" w:rsidRPr="00B2274C">
        <w:t xml:space="preserve">s by “greening” their religions? </w:t>
      </w:r>
      <w:r w:rsidR="00545267" w:rsidRPr="00B2274C">
        <w:t xml:space="preserve">How does environmental activism – both “mainstream” and “radical” – arise out of or inspire religious experiences in nature?  How do environmental activists attain and sustain a level of commitment that resembles the intensity of religious </w:t>
      </w:r>
      <w:r w:rsidR="00277C0A">
        <w:t>conviction</w:t>
      </w:r>
      <w:r w:rsidR="00545267" w:rsidRPr="00B2274C">
        <w:t xml:space="preserve">?  </w:t>
      </w:r>
      <w:r w:rsidR="00BD0BAA" w:rsidRPr="00B2274C">
        <w:t>Using primary texts drawn from a variety of sacred traditions, and writings from a broad spectrum of naturalists, theologians,</w:t>
      </w:r>
      <w:r w:rsidR="001055FF" w:rsidRPr="00B2274C">
        <w:t xml:space="preserve"> and scholars,</w:t>
      </w:r>
      <w:r w:rsidR="00BD0BAA" w:rsidRPr="00B2274C">
        <w:t xml:space="preserve"> the course will cover such topics as </w:t>
      </w:r>
      <w:proofErr w:type="spellStart"/>
      <w:r w:rsidR="00BD0BAA" w:rsidRPr="00B2274C">
        <w:t>ecotheology</w:t>
      </w:r>
      <w:proofErr w:type="spellEnd"/>
      <w:r w:rsidR="00BD0BAA" w:rsidRPr="00B2274C">
        <w:t>,</w:t>
      </w:r>
      <w:r w:rsidR="00C27FC5">
        <w:t xml:space="preserve"> </w:t>
      </w:r>
      <w:r w:rsidR="00BD0BAA" w:rsidRPr="00B2274C">
        <w:t>ecofeminism</w:t>
      </w:r>
      <w:r w:rsidR="0090045E">
        <w:t xml:space="preserve"> and indigenous ecological knowledge</w:t>
      </w:r>
      <w:r w:rsidR="00BD0BAA" w:rsidRPr="00B2274C">
        <w:t xml:space="preserve">.  In addition, we will read case studies that feature how </w:t>
      </w:r>
      <w:r w:rsidR="00277C0A">
        <w:t>religious people</w:t>
      </w:r>
      <w:r w:rsidR="00BD0BAA" w:rsidRPr="00B2274C">
        <w:t xml:space="preserve"> have drawn on the </w:t>
      </w:r>
      <w:r w:rsidR="001055FF" w:rsidRPr="00B2274C">
        <w:t>cosmological</w:t>
      </w:r>
      <w:r w:rsidR="00BD0BAA" w:rsidRPr="00B2274C">
        <w:t xml:space="preserve"> </w:t>
      </w:r>
      <w:r w:rsidR="001055FF" w:rsidRPr="00B2274C">
        <w:t xml:space="preserve">and ritual </w:t>
      </w:r>
      <w:r w:rsidR="00BD0BAA" w:rsidRPr="00B2274C">
        <w:t>resources of their traditions to reimagine our relation</w:t>
      </w:r>
      <w:r w:rsidR="001055FF" w:rsidRPr="00B2274C">
        <w:t>ship to non-human nature – from</w:t>
      </w:r>
      <w:r w:rsidR="00BD0BAA" w:rsidRPr="00B2274C">
        <w:t xml:space="preserve"> Pope Francis’ landmark encyclical, </w:t>
      </w:r>
      <w:proofErr w:type="spellStart"/>
      <w:r w:rsidR="00BD0BAA" w:rsidRPr="00B2274C">
        <w:rPr>
          <w:i/>
        </w:rPr>
        <w:t>Laudato</w:t>
      </w:r>
      <w:proofErr w:type="spellEnd"/>
      <w:r w:rsidR="00BD0BAA" w:rsidRPr="00B2274C">
        <w:rPr>
          <w:i/>
        </w:rPr>
        <w:t xml:space="preserve"> Si</w:t>
      </w:r>
      <w:r w:rsidR="001055FF" w:rsidRPr="00B2274C">
        <w:rPr>
          <w:i/>
        </w:rPr>
        <w:t>: On Care for Our Common Home</w:t>
      </w:r>
      <w:r w:rsidR="001055FF" w:rsidRPr="00B2274C">
        <w:t xml:space="preserve"> to </w:t>
      </w:r>
      <w:r w:rsidR="00D442E2">
        <w:t xml:space="preserve">campaigns led by Native Americans against oil pipeline construction on sacred land.  </w:t>
      </w:r>
    </w:p>
    <w:p w14:paraId="02728AB3" w14:textId="7F4803F1" w:rsidR="00536AD6" w:rsidRDefault="00536AD6"/>
    <w:p w14:paraId="08CC367B" w14:textId="77777777" w:rsidR="0090045E" w:rsidRPr="00B2274C" w:rsidRDefault="0090045E"/>
    <w:p w14:paraId="7F3FB2EA" w14:textId="77777777" w:rsidR="00536AD6" w:rsidRPr="00B2274C" w:rsidRDefault="00536AD6">
      <w:r w:rsidRPr="00B2274C">
        <w:rPr>
          <w:b/>
        </w:rPr>
        <w:lastRenderedPageBreak/>
        <w:t>II. COURSE OBJECTIVES:</w:t>
      </w:r>
      <w:r w:rsidRPr="00B2274C">
        <w:t xml:space="preserve"> </w:t>
      </w:r>
    </w:p>
    <w:p w14:paraId="49BFBC90" w14:textId="2B41F571" w:rsidR="00536AD6" w:rsidRPr="00B2274C" w:rsidRDefault="00536AD6" w:rsidP="00536AD6">
      <w:pPr>
        <w:numPr>
          <w:ilvl w:val="0"/>
          <w:numId w:val="1"/>
        </w:numPr>
      </w:pPr>
      <w:r w:rsidRPr="00B2274C">
        <w:t xml:space="preserve">to acquire a technical vocabulary that will allow you to speak in a precise and informed way about religious belief and practice in general, and about Christianity, Lakota Religion, </w:t>
      </w:r>
      <w:r w:rsidR="0090045E">
        <w:t xml:space="preserve">and </w:t>
      </w:r>
      <w:r w:rsidRPr="00B2274C">
        <w:t>Hinduism</w:t>
      </w:r>
      <w:r w:rsidR="0090045E">
        <w:t xml:space="preserve"> </w:t>
      </w:r>
      <w:r w:rsidRPr="00B2274C">
        <w:t>in particular;</w:t>
      </w:r>
    </w:p>
    <w:p w14:paraId="5BB1ACF6" w14:textId="77777777" w:rsidR="00536AD6" w:rsidRPr="00B2274C" w:rsidRDefault="00536AD6" w:rsidP="00536AD6">
      <w:pPr>
        <w:numPr>
          <w:ilvl w:val="0"/>
          <w:numId w:val="1"/>
        </w:numPr>
      </w:pPr>
      <w:r w:rsidRPr="00B2274C">
        <w:t>to gain a familiarity with religious hermeneutics, that is, the interpretation of received religious texts and traditions to meet the needs of a changed socio-historical situation;</w:t>
      </w:r>
    </w:p>
    <w:p w14:paraId="4A45529A" w14:textId="65530D4D" w:rsidR="00536AD6" w:rsidRPr="00B2274C" w:rsidRDefault="00536AD6" w:rsidP="00536AD6">
      <w:pPr>
        <w:numPr>
          <w:ilvl w:val="0"/>
          <w:numId w:val="1"/>
        </w:numPr>
      </w:pPr>
      <w:r w:rsidRPr="00B2274C">
        <w:t xml:space="preserve">to understand </w:t>
      </w:r>
      <w:r w:rsidR="001055FF" w:rsidRPr="00B2274C">
        <w:t>how</w:t>
      </w:r>
      <w:r w:rsidRPr="00B2274C">
        <w:t xml:space="preserve"> religious worldviews have shaped human interactions with the natural environment, in concert with other factors (technological capacity, economic conditions, natural conditions, land use policies, etc.);</w:t>
      </w:r>
    </w:p>
    <w:p w14:paraId="607EB3BD" w14:textId="77777777" w:rsidR="00536AD6" w:rsidRPr="00B2274C" w:rsidRDefault="00536AD6" w:rsidP="00536AD6">
      <w:pPr>
        <w:numPr>
          <w:ilvl w:val="0"/>
          <w:numId w:val="1"/>
        </w:numPr>
      </w:pPr>
      <w:r w:rsidRPr="00B2274C">
        <w:t>to develop a richly nuanced conception of religion that recognizes both the social and the personal dimensions of religious belief and practice;</w:t>
      </w:r>
    </w:p>
    <w:p w14:paraId="77C232AC" w14:textId="77777777" w:rsidR="00536AD6" w:rsidRPr="00B2274C" w:rsidRDefault="00536AD6" w:rsidP="00536AD6">
      <w:pPr>
        <w:numPr>
          <w:ilvl w:val="0"/>
          <w:numId w:val="1"/>
        </w:numPr>
      </w:pPr>
      <w:r w:rsidRPr="00B2274C">
        <w:t>to examine, challenge and clarify one’s own self-understanding, worldview and fundamental values.</w:t>
      </w:r>
    </w:p>
    <w:p w14:paraId="701EE898" w14:textId="77777777" w:rsidR="00536AD6" w:rsidRPr="00B2274C" w:rsidRDefault="00536AD6"/>
    <w:p w14:paraId="6CCDEFA6" w14:textId="77777777" w:rsidR="00536AD6" w:rsidRPr="00B2274C" w:rsidRDefault="00536AD6">
      <w:pPr>
        <w:keepNext/>
        <w:keepLines/>
      </w:pPr>
      <w:r w:rsidRPr="00B2274C">
        <w:rPr>
          <w:b/>
        </w:rPr>
        <w:t>III.  COURSE REQUIREMENTS</w:t>
      </w:r>
    </w:p>
    <w:p w14:paraId="336FAAD1" w14:textId="77777777" w:rsidR="00536AD6" w:rsidRPr="00B2274C" w:rsidRDefault="00536AD6">
      <w:pPr>
        <w:keepLines/>
      </w:pPr>
      <w:r w:rsidRPr="00B2274C">
        <w:tab/>
        <w:t>A. Attendance and participation</w:t>
      </w:r>
    </w:p>
    <w:p w14:paraId="5DF8E2F9" w14:textId="77777777" w:rsidR="00536AD6" w:rsidRPr="00B2274C" w:rsidRDefault="00536AD6">
      <w:pPr>
        <w:keepLines/>
      </w:pPr>
      <w:r w:rsidRPr="00B2274C">
        <w:tab/>
        <w:t>B. Reading</w:t>
      </w:r>
    </w:p>
    <w:p w14:paraId="17715F83" w14:textId="41488C0A" w:rsidR="00536AD6" w:rsidRDefault="00536AD6" w:rsidP="00536AD6">
      <w:pPr>
        <w:pStyle w:val="Footer"/>
        <w:keepLines/>
        <w:tabs>
          <w:tab w:val="clear" w:pos="4320"/>
          <w:tab w:val="clear" w:pos="8640"/>
        </w:tabs>
        <w:rPr>
          <w:rFonts w:ascii="Times New Roman" w:hAnsi="Times New Roman"/>
          <w:szCs w:val="24"/>
        </w:rPr>
      </w:pPr>
      <w:r w:rsidRPr="00B2274C">
        <w:rPr>
          <w:rFonts w:ascii="Times New Roman" w:hAnsi="Times New Roman"/>
          <w:szCs w:val="24"/>
        </w:rPr>
        <w:tab/>
        <w:t>C. Writing</w:t>
      </w:r>
    </w:p>
    <w:p w14:paraId="173145BC" w14:textId="77777777" w:rsidR="00C27FC5" w:rsidRPr="00B2274C" w:rsidRDefault="00C27FC5" w:rsidP="00536AD6">
      <w:pPr>
        <w:pStyle w:val="Footer"/>
        <w:keepLines/>
        <w:tabs>
          <w:tab w:val="clear" w:pos="4320"/>
          <w:tab w:val="clear" w:pos="8640"/>
        </w:tabs>
        <w:rPr>
          <w:rFonts w:ascii="Times New Roman" w:hAnsi="Times New Roman"/>
          <w:szCs w:val="24"/>
        </w:rPr>
      </w:pPr>
    </w:p>
    <w:p w14:paraId="3120E220" w14:textId="762B7BCA" w:rsidR="00C27FC5" w:rsidRPr="003443FC" w:rsidRDefault="00536AD6" w:rsidP="00C27FC5">
      <w:pPr>
        <w:rPr>
          <w:iCs/>
          <w:color w:val="000000"/>
        </w:rPr>
      </w:pPr>
      <w:r w:rsidRPr="00B2274C">
        <w:rPr>
          <w:b/>
        </w:rPr>
        <w:t xml:space="preserve">A. </w:t>
      </w:r>
      <w:r w:rsidR="00C27FC5" w:rsidRPr="003443FC">
        <w:rPr>
          <w:b/>
        </w:rPr>
        <w:t>Attendance and Class Participation:</w:t>
      </w:r>
      <w:r w:rsidR="00C27FC5" w:rsidRPr="003443FC">
        <w:t xml:space="preserve">  Regular attendance and active participation are essential to your learning experience and success in this course.   </w:t>
      </w:r>
      <w:r w:rsidR="00C27FC5" w:rsidRPr="003443FC">
        <w:rPr>
          <w:iCs/>
          <w:color w:val="000000"/>
        </w:rPr>
        <w:t xml:space="preserve">Having said that, our primary concern at this time is your health and well-being. In this difficult climate, I ask that you only miss class when </w:t>
      </w:r>
      <w:r w:rsidR="00C27FC5">
        <w:rPr>
          <w:iCs/>
          <w:color w:val="000000"/>
        </w:rPr>
        <w:t xml:space="preserve">absolutely </w:t>
      </w:r>
      <w:r w:rsidR="00C27FC5" w:rsidRPr="003443FC">
        <w:rPr>
          <w:iCs/>
          <w:color w:val="000000"/>
        </w:rPr>
        <w:t>necessary</w:t>
      </w:r>
      <w:r w:rsidR="00C27FC5">
        <w:rPr>
          <w:iCs/>
          <w:color w:val="000000"/>
        </w:rPr>
        <w:t xml:space="preserve">. </w:t>
      </w:r>
      <w:r w:rsidR="00C27FC5" w:rsidRPr="003443FC">
        <w:rPr>
          <w:iCs/>
          <w:color w:val="000000"/>
        </w:rPr>
        <w:t xml:space="preserve">If you do need to miss class, please let me know in advance, or as soon as possible, so that I can work with you to help you keep up. Such absences will not be counted against you.  </w:t>
      </w:r>
      <w:r w:rsidR="00C27FC5" w:rsidRPr="00C27FC5">
        <w:rPr>
          <w:b/>
          <w:iCs/>
          <w:color w:val="000000"/>
        </w:rPr>
        <w:t xml:space="preserve">More than five unexcused absences, however, will be grounds for failing the course.  </w:t>
      </w:r>
    </w:p>
    <w:p w14:paraId="558FBC77" w14:textId="77777777" w:rsidR="00C27FC5" w:rsidRPr="003443FC" w:rsidRDefault="00C27FC5" w:rsidP="00C27FC5">
      <w:pPr>
        <w:rPr>
          <w:iCs/>
          <w:color w:val="000000"/>
        </w:rPr>
      </w:pPr>
    </w:p>
    <w:p w14:paraId="063E0F14" w14:textId="77777777" w:rsidR="00C27FC5" w:rsidRPr="003443FC" w:rsidRDefault="00C27FC5" w:rsidP="00C27FC5">
      <w:r w:rsidRPr="003443FC">
        <w:rPr>
          <w:iCs/>
          <w:color w:val="000000"/>
        </w:rPr>
        <w:t xml:space="preserve">As a “hybrid” class we will be meeting both in-person and on-line.  The goal of all of our meetings is to foster </w:t>
      </w:r>
      <w:r w:rsidRPr="003443FC">
        <w:t>positive, respectful intellectual community during the limited time we have together. Therefore, whether we are meeting on-line, or in-person please note:</w:t>
      </w:r>
    </w:p>
    <w:p w14:paraId="15D530AF" w14:textId="77777777" w:rsidR="00C27FC5" w:rsidRPr="003443FC" w:rsidRDefault="00C27FC5" w:rsidP="00C27FC5">
      <w:pPr>
        <w:numPr>
          <w:ilvl w:val="0"/>
          <w:numId w:val="20"/>
        </w:numPr>
      </w:pPr>
      <w:r w:rsidRPr="003443FC">
        <w:t xml:space="preserve">Plan to arrive on time and to stay in class the entire time.  </w:t>
      </w:r>
    </w:p>
    <w:p w14:paraId="2EB968D1" w14:textId="6910129E" w:rsidR="00C27FC5" w:rsidRPr="003443FC" w:rsidRDefault="00C27FC5" w:rsidP="00C27FC5">
      <w:pPr>
        <w:numPr>
          <w:ilvl w:val="0"/>
          <w:numId w:val="20"/>
        </w:numPr>
      </w:pPr>
      <w:r>
        <w:t>Provided the class agrees, collectively, to do this, we</w:t>
      </w:r>
      <w:r w:rsidRPr="003443FC">
        <w:t xml:space="preserve"> will begin each</w:t>
      </w:r>
      <w:r>
        <w:t xml:space="preserve"> in-person</w:t>
      </w:r>
      <w:r w:rsidRPr="003443FC">
        <w:t xml:space="preserve"> day with a 5-minute mindfulness exercise.  </w:t>
      </w:r>
    </w:p>
    <w:p w14:paraId="19F6D918" w14:textId="66BEF4F2" w:rsidR="00C27FC5" w:rsidRDefault="00C27FC5" w:rsidP="00C27FC5">
      <w:pPr>
        <w:numPr>
          <w:ilvl w:val="0"/>
          <w:numId w:val="20"/>
        </w:numPr>
      </w:pPr>
      <w:r>
        <w:t xml:space="preserve">Please be sure to keep your mask on, covering your nose and mouth, at all times. </w:t>
      </w:r>
    </w:p>
    <w:p w14:paraId="2DF325EB" w14:textId="77777777" w:rsidR="00C27FC5" w:rsidRPr="003443FC" w:rsidRDefault="00C27FC5" w:rsidP="00C27FC5">
      <w:pPr>
        <w:numPr>
          <w:ilvl w:val="0"/>
          <w:numId w:val="20"/>
        </w:numPr>
      </w:pPr>
      <w:r>
        <w:t xml:space="preserve">No eating or drinking in class (because you have to keep your mask on). </w:t>
      </w:r>
    </w:p>
    <w:p w14:paraId="640264B0" w14:textId="77777777" w:rsidR="00C27FC5" w:rsidRPr="003443FC" w:rsidRDefault="00C27FC5" w:rsidP="00C27FC5">
      <w:pPr>
        <w:numPr>
          <w:ilvl w:val="0"/>
          <w:numId w:val="20"/>
        </w:numPr>
      </w:pPr>
      <w:r w:rsidRPr="003443FC">
        <w:t>Be sure your cell phone is off and stowed out of your sight and mine the whole class period (p.s. I have x-ray vision and can detect texting under a desktop).</w:t>
      </w:r>
    </w:p>
    <w:p w14:paraId="4ADD963E" w14:textId="28A725D8" w:rsidR="00C27FC5" w:rsidRPr="003443FC" w:rsidRDefault="00C27FC5" w:rsidP="00C27FC5">
      <w:pPr>
        <w:numPr>
          <w:ilvl w:val="0"/>
          <w:numId w:val="20"/>
        </w:numPr>
      </w:pPr>
      <w:r w:rsidRPr="003443FC">
        <w:t xml:space="preserve">While in class, please refrain from using your laptop to shop, message with friends and family, check </w:t>
      </w:r>
      <w:r>
        <w:t>weather</w:t>
      </w:r>
      <w:r w:rsidRPr="003443FC">
        <w:t xml:space="preserve"> forecasts, etc. Whether meeting in-person or online we will regularly need to use our laptops, tablets, etc. to communicate or look at materials together, so the temptation to veer away from our work together will be ever-present.  Taking notes as you listen is one way to stay anchored.</w:t>
      </w:r>
    </w:p>
    <w:p w14:paraId="06F8DF67" w14:textId="4079220F" w:rsidR="00C27FC5" w:rsidRPr="00C27FC5" w:rsidRDefault="00C27FC5" w:rsidP="00C27FC5">
      <w:pPr>
        <w:numPr>
          <w:ilvl w:val="0"/>
          <w:numId w:val="20"/>
        </w:numPr>
      </w:pPr>
      <w:r w:rsidRPr="003443FC">
        <w:t xml:space="preserve">Zoom etiquette: keep your mic muted and plug in your device to save operating system power for the app.  I would prefer you to keep your video on during our synchronous Zoom sessions. </w:t>
      </w:r>
    </w:p>
    <w:p w14:paraId="057CC087" w14:textId="3AF15E19" w:rsidR="00536AD6" w:rsidRDefault="00C27FC5" w:rsidP="00C27FC5">
      <w:pPr>
        <w:rPr>
          <w:b/>
        </w:rPr>
      </w:pPr>
      <w:r w:rsidRPr="003443FC">
        <w:lastRenderedPageBreak/>
        <w:t>Beyond these, your regular, active participation is expected.  Please come to class having read the assignments so that you are prepared to offer your thoughtful questions, comments, comparisons and suggestions for further areas of exploration.  This kind of participation benefits the class enormously, as does your attentive listening to the comments and questions of others.  Your class participation grade will depend not only on the consistency of attendance and basic classroom etiquette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w:t>
      </w:r>
      <w:r w:rsidR="005404A5">
        <w:t xml:space="preserve">o even out the dynamic. </w:t>
      </w:r>
      <w:r w:rsidR="005404A5">
        <w:t xml:space="preserve">Class participation may take other forms than questions or responses to in-class discussions.  You are encouraged </w:t>
      </w:r>
      <w:r w:rsidR="005404A5">
        <w:t xml:space="preserve">to reach out over email, attend office hours, or meet with me over Zoom to </w:t>
      </w:r>
      <w:r w:rsidR="005404A5">
        <w:t>continue conversations begun in class</w:t>
      </w:r>
      <w:r w:rsidR="005404A5">
        <w:t xml:space="preserve">. </w:t>
      </w:r>
      <w:r w:rsidR="005404A5" w:rsidRPr="005404A5">
        <w:rPr>
          <w:b/>
        </w:rPr>
        <w:t>Class participation counts for 10% of the overall grade.</w:t>
      </w:r>
      <w:r w:rsidR="005404A5">
        <w:t xml:space="preserve">  </w:t>
      </w:r>
    </w:p>
    <w:p w14:paraId="140A95C0" w14:textId="77777777" w:rsidR="00C27FC5" w:rsidRPr="00B2274C" w:rsidRDefault="00C27FC5" w:rsidP="00C27FC5">
      <w:pPr>
        <w:rPr>
          <w:b/>
        </w:rPr>
      </w:pPr>
    </w:p>
    <w:p w14:paraId="0A0F9F2D" w14:textId="58B3C48A" w:rsidR="00AB40CC" w:rsidRDefault="00536AD6">
      <w:r w:rsidRPr="00B2274C">
        <w:rPr>
          <w:b/>
        </w:rPr>
        <w:t>B. Reading:</w:t>
      </w:r>
      <w:r w:rsidRPr="00B2274C">
        <w:t xml:space="preserve">  Nothing is more central to a course in the humanities than the careful, thorough, critical reading of texts, and that will certainly be the case here. I encourage you to take notes in the margins of your books or in a notebook designated for that purpose.  To enhance your vocabulary, maintain word lists of new words or concepts and look up their definitions in a dictionary.  Such active engagement with the reading will enhance your retention of the material and help you to think through the issues and questions raised by the texts.  </w:t>
      </w:r>
    </w:p>
    <w:p w14:paraId="0387CBB6" w14:textId="77777777" w:rsidR="005404A5" w:rsidRDefault="005404A5"/>
    <w:p w14:paraId="145A405E" w14:textId="77777777" w:rsidR="00AB40CC" w:rsidRPr="00B2274C" w:rsidRDefault="00AB40CC"/>
    <w:p w14:paraId="4CDD3537" w14:textId="77777777" w:rsidR="00536AD6" w:rsidRPr="00B2274C" w:rsidRDefault="00536AD6">
      <w:pPr>
        <w:rPr>
          <w:b/>
        </w:rPr>
      </w:pPr>
      <w:r w:rsidRPr="00B2274C">
        <w:rPr>
          <w:b/>
        </w:rPr>
        <w:t>Required books to purchase:</w:t>
      </w:r>
    </w:p>
    <w:p w14:paraId="5D4F591F" w14:textId="77777777" w:rsidR="00536AD6" w:rsidRPr="00B2274C" w:rsidRDefault="00536AD6" w:rsidP="00536AD6">
      <w:pPr>
        <w:widowControl w:val="0"/>
        <w:adjustRightInd w:val="0"/>
        <w:ind w:firstLine="120"/>
      </w:pPr>
    </w:p>
    <w:p w14:paraId="3E227555" w14:textId="77777777" w:rsidR="00277C0A" w:rsidRPr="00927E92" w:rsidRDefault="00277C0A" w:rsidP="00927E92">
      <w:pPr>
        <w:pStyle w:val="ListParagraph"/>
        <w:numPr>
          <w:ilvl w:val="0"/>
          <w:numId w:val="24"/>
        </w:numPr>
        <w:rPr>
          <w:rFonts w:ascii="Times New Roman" w:hAnsi="Times New Roman"/>
          <w:color w:val="000000"/>
          <w:lang w:eastAsia="zh-CN"/>
        </w:rPr>
      </w:pPr>
      <w:r w:rsidRPr="00927E92">
        <w:rPr>
          <w:rFonts w:ascii="Times New Roman" w:hAnsi="Times New Roman"/>
        </w:rPr>
        <w:t xml:space="preserve">Robin Wall Kimmerer, </w:t>
      </w:r>
      <w:r w:rsidRPr="00927E92">
        <w:rPr>
          <w:rFonts w:ascii="Times New Roman" w:hAnsi="Times New Roman"/>
          <w:i/>
        </w:rPr>
        <w:t>Braiding Sweetgrass: Indigenous Wisdom, Scientific Knowledge and the Teaching of Plants</w:t>
      </w:r>
      <w:r w:rsidRPr="00927E92">
        <w:rPr>
          <w:rFonts w:ascii="Times New Roman" w:hAnsi="Times New Roman"/>
        </w:rPr>
        <w:t xml:space="preserve"> (Milkweed editions, 2015): ISBN: </w:t>
      </w:r>
      <w:r w:rsidRPr="00927E92">
        <w:rPr>
          <w:rFonts w:ascii="Times New Roman" w:hAnsi="Times New Roman"/>
          <w:color w:val="000000"/>
          <w:lang w:eastAsia="zh-CN"/>
        </w:rPr>
        <w:t>9781571313560</w:t>
      </w:r>
    </w:p>
    <w:p w14:paraId="2EFFA6F5" w14:textId="77777777" w:rsidR="00491766" w:rsidRDefault="00536AD6" w:rsidP="00491766">
      <w:pPr>
        <w:pStyle w:val="ListParagraph"/>
        <w:numPr>
          <w:ilvl w:val="0"/>
          <w:numId w:val="24"/>
        </w:numPr>
        <w:rPr>
          <w:rFonts w:ascii="Times New Roman" w:hAnsi="Times New Roman"/>
          <w:lang w:eastAsia="zh-CN"/>
        </w:rPr>
      </w:pPr>
      <w:r w:rsidRPr="00927E92">
        <w:rPr>
          <w:rFonts w:ascii="Times New Roman" w:hAnsi="Times New Roman"/>
        </w:rPr>
        <w:t xml:space="preserve">Pope Francis, </w:t>
      </w:r>
      <w:proofErr w:type="spellStart"/>
      <w:r w:rsidRPr="00927E92">
        <w:rPr>
          <w:rFonts w:ascii="Times New Roman" w:hAnsi="Times New Roman"/>
          <w:i/>
        </w:rPr>
        <w:t>Laudato</w:t>
      </w:r>
      <w:proofErr w:type="spellEnd"/>
      <w:r w:rsidRPr="00927E92">
        <w:rPr>
          <w:rFonts w:ascii="Times New Roman" w:hAnsi="Times New Roman"/>
          <w:i/>
        </w:rPr>
        <w:t xml:space="preserve"> Si: Care for our Common Home</w:t>
      </w:r>
      <w:r w:rsidRPr="00927E92">
        <w:rPr>
          <w:rFonts w:ascii="Times New Roman" w:hAnsi="Times New Roman"/>
        </w:rPr>
        <w:t xml:space="preserve"> (Our Sunday Visitor 2015</w:t>
      </w:r>
      <w:proofErr w:type="gramStart"/>
      <w:r w:rsidRPr="00927E92">
        <w:rPr>
          <w:rFonts w:ascii="Times New Roman" w:hAnsi="Times New Roman"/>
        </w:rPr>
        <w:t>)  ISBN</w:t>
      </w:r>
      <w:proofErr w:type="gramEnd"/>
      <w:r w:rsidRPr="00927E92">
        <w:rPr>
          <w:rFonts w:ascii="Times New Roman" w:hAnsi="Times New Roman"/>
        </w:rPr>
        <w:t xml:space="preserve">: 978-1612783864 </w:t>
      </w:r>
    </w:p>
    <w:p w14:paraId="01D7D48E" w14:textId="77777777" w:rsidR="00536AD6" w:rsidRPr="00B2274C" w:rsidRDefault="00536AD6" w:rsidP="00536AD6"/>
    <w:p w14:paraId="671A22B3" w14:textId="0BDBFCBB" w:rsidR="005404A5" w:rsidRPr="00887B90" w:rsidRDefault="005404A5" w:rsidP="005404A5">
      <w:pPr>
        <w:rPr>
          <w:b/>
        </w:rPr>
      </w:pPr>
      <w:r w:rsidRPr="005404A5">
        <w:t xml:space="preserve">In addition, we will be reading scholarly essays written by scholars in religious studies, </w:t>
      </w:r>
      <w:r w:rsidRPr="005404A5">
        <w:t xml:space="preserve">philosophy, history, anthropology, and environmental studies, </w:t>
      </w:r>
      <w:r w:rsidRPr="005404A5">
        <w:t xml:space="preserve">examining </w:t>
      </w:r>
      <w:r w:rsidRPr="005404A5">
        <w:t>the nexus of religion and ecology through</w:t>
      </w:r>
      <w:r w:rsidRPr="005404A5">
        <w:t xml:space="preserve"> a variety of disciplinary lenses.  </w:t>
      </w:r>
      <w:r w:rsidRPr="005404A5">
        <w:rPr>
          <w:b/>
        </w:rPr>
        <w:t xml:space="preserve">All such readings </w:t>
      </w:r>
      <w:r w:rsidRPr="005404A5">
        <w:rPr>
          <w:b/>
        </w:rPr>
        <w:t>will</w:t>
      </w:r>
      <w:r w:rsidRPr="005404A5">
        <w:rPr>
          <w:b/>
        </w:rPr>
        <w:t xml:space="preserve"> be available through our course website on </w:t>
      </w:r>
      <w:proofErr w:type="spellStart"/>
      <w:r w:rsidRPr="005404A5">
        <w:rPr>
          <w:b/>
        </w:rPr>
        <w:t>theSpring</w:t>
      </w:r>
      <w:proofErr w:type="spellEnd"/>
      <w:r w:rsidRPr="005404A5">
        <w:rPr>
          <w:b/>
        </w:rPr>
        <w:t xml:space="preserve">.  </w:t>
      </w:r>
      <w:r w:rsidRPr="00887B90">
        <w:rPr>
          <w:b/>
        </w:rPr>
        <w:t xml:space="preserve">You will do </w:t>
      </w:r>
      <w:r>
        <w:rPr>
          <w:b/>
        </w:rPr>
        <w:t>many of your</w:t>
      </w:r>
      <w:r w:rsidRPr="00887B90">
        <w:rPr>
          <w:b/>
        </w:rPr>
        <w:t xml:space="preserve"> article and essay reading on Perusall.com where you can annotate the readings in collaboration with your fellow students.  </w:t>
      </w:r>
    </w:p>
    <w:p w14:paraId="76DF6347" w14:textId="77777777" w:rsidR="00536AD6" w:rsidRPr="00B2274C" w:rsidRDefault="00536AD6"/>
    <w:p w14:paraId="25F23117" w14:textId="01A11C9A" w:rsidR="00711A67" w:rsidRPr="0050068E" w:rsidRDefault="00536AD6" w:rsidP="00536AD6">
      <w:pPr>
        <w:rPr>
          <w:b/>
        </w:rPr>
      </w:pPr>
      <w:r w:rsidRPr="00B2274C">
        <w:rPr>
          <w:b/>
        </w:rPr>
        <w:t>C.  Writing</w:t>
      </w:r>
    </w:p>
    <w:p w14:paraId="51F4F325" w14:textId="636239B4" w:rsidR="00E95501" w:rsidRDefault="00536AD6" w:rsidP="00536AD6">
      <w:r w:rsidRPr="00B2274C">
        <w:t xml:space="preserve">1. </w:t>
      </w:r>
      <w:r w:rsidR="00D442E2">
        <w:rPr>
          <w:b/>
        </w:rPr>
        <w:t>Module synthesis paper</w:t>
      </w:r>
      <w:r w:rsidR="00C27FC5">
        <w:rPr>
          <w:b/>
        </w:rPr>
        <w:t>s</w:t>
      </w:r>
      <w:r w:rsidR="003B52FC" w:rsidRPr="00B2274C">
        <w:rPr>
          <w:b/>
        </w:rPr>
        <w:t xml:space="preserve">.   </w:t>
      </w:r>
      <w:r w:rsidR="00424E48">
        <w:t>Four</w:t>
      </w:r>
      <w:r w:rsidR="003B52FC" w:rsidRPr="00B2274C">
        <w:t xml:space="preserve"> 600 – </w:t>
      </w:r>
      <w:proofErr w:type="gramStart"/>
      <w:r w:rsidR="003B52FC" w:rsidRPr="00B2274C">
        <w:t>800 word</w:t>
      </w:r>
      <w:proofErr w:type="gramEnd"/>
      <w:r w:rsidR="003B52FC" w:rsidRPr="00B2274C">
        <w:t xml:space="preserve"> essays are due throughout the semester, </w:t>
      </w:r>
      <w:r w:rsidR="00D442E2">
        <w:t xml:space="preserve">at end of each module of the course.  In each case, I will </w:t>
      </w:r>
      <w:r w:rsidR="00C27FC5">
        <w:t>distribute guidelines</w:t>
      </w:r>
      <w:r w:rsidR="00D442E2">
        <w:t xml:space="preserve"> with a question or set of questions that invite</w:t>
      </w:r>
      <w:r w:rsidR="003B52FC" w:rsidRPr="00B2274C">
        <w:t xml:space="preserve"> you to reflect on the readings of the preceding weeks and generate a short, thesis-driven essay in response.  </w:t>
      </w:r>
      <w:r w:rsidR="00E95501" w:rsidRPr="00B2274C">
        <w:t xml:space="preserve">These papers are meant to encourage active, engaged reading; to offer </w:t>
      </w:r>
      <w:r w:rsidR="003C4874" w:rsidRPr="00B2274C">
        <w:t>you</w:t>
      </w:r>
      <w:r w:rsidR="00E95501" w:rsidRPr="00B2274C">
        <w:t xml:space="preserve"> a chance to try out </w:t>
      </w:r>
      <w:r w:rsidR="003C4874" w:rsidRPr="00B2274C">
        <w:t>you</w:t>
      </w:r>
      <w:r w:rsidR="00C27FC5">
        <w:t>r</w:t>
      </w:r>
      <w:r w:rsidR="00B2274C">
        <w:t xml:space="preserve"> ideas and make connections among the readings; to </w:t>
      </w:r>
      <w:r w:rsidR="00E95501" w:rsidRPr="00B2274C">
        <w:t xml:space="preserve">deepen </w:t>
      </w:r>
      <w:r w:rsidR="003C4874" w:rsidRPr="00B2274C">
        <w:t>your</w:t>
      </w:r>
      <w:r w:rsidR="00E95501" w:rsidRPr="00B2274C">
        <w:t xml:space="preserve"> insight and sharpen </w:t>
      </w:r>
      <w:r w:rsidR="003C4874" w:rsidRPr="00B2274C">
        <w:t>your</w:t>
      </w:r>
      <w:r w:rsidR="00E95501" w:rsidRPr="00B2274C">
        <w:t xml:space="preserve"> analyses through sustained reflection on the material; and to provide you with a sense of my expectations and grading standard.  </w:t>
      </w:r>
      <w:r w:rsidR="00D442E2">
        <w:t xml:space="preserve"> Where appropriate, there will be options or opportunities to experiment with other writing styles: letters to public officials with proposals for public engagement or policy changes; self-reflection essays; creative non-fiction nature writing.  </w:t>
      </w:r>
    </w:p>
    <w:p w14:paraId="3650BABC" w14:textId="77777777" w:rsidR="00D442E2" w:rsidRPr="00B2274C" w:rsidRDefault="00D442E2" w:rsidP="00536AD6"/>
    <w:p w14:paraId="5F2E5CD0" w14:textId="333AECFB" w:rsidR="00E95501" w:rsidRPr="00B2274C" w:rsidRDefault="00671951" w:rsidP="00536AD6">
      <w:r>
        <w:t xml:space="preserve">All </w:t>
      </w:r>
      <w:r w:rsidR="00D442E2">
        <w:t>module synthesis</w:t>
      </w:r>
      <w:r w:rsidR="00E95501" w:rsidRPr="00B2274C">
        <w:t xml:space="preserve"> essays should be turned in via </w:t>
      </w:r>
      <w:proofErr w:type="spellStart"/>
      <w:r w:rsidR="00D442E2">
        <w:t>theSpring</w:t>
      </w:r>
      <w:proofErr w:type="spellEnd"/>
      <w:r w:rsidR="00E95501" w:rsidRPr="00B2274C">
        <w:t xml:space="preserve">.  All feedback will be given via </w:t>
      </w:r>
      <w:proofErr w:type="spellStart"/>
      <w:r w:rsidR="00D442E2">
        <w:t>theSpring</w:t>
      </w:r>
      <w:proofErr w:type="spellEnd"/>
      <w:r w:rsidR="00E95501" w:rsidRPr="00B2274C">
        <w:t>.</w:t>
      </w:r>
    </w:p>
    <w:p w14:paraId="13027420" w14:textId="77777777" w:rsidR="00E95501" w:rsidRPr="00B2274C" w:rsidRDefault="00E95501" w:rsidP="00536AD6"/>
    <w:p w14:paraId="514454B6" w14:textId="03E8B713" w:rsidR="00E95501" w:rsidRPr="00B2274C" w:rsidRDefault="00E95501" w:rsidP="00536AD6">
      <w:r w:rsidRPr="00B2274C">
        <w:t>Grading rubric: 1) depth and complexity of your critical engagement with the</w:t>
      </w:r>
      <w:r w:rsidR="003C4874" w:rsidRPr="00B2274C">
        <w:t xml:space="preserve"> texts, </w:t>
      </w:r>
      <w:r w:rsidRPr="00B2274C">
        <w:t>2) the persuasiveness and originality of your argument, 3) the clarit</w:t>
      </w:r>
      <w:r w:rsidR="003C4874" w:rsidRPr="00B2274C">
        <w:t xml:space="preserve">y and quality of your writing, 4) correct spelling, grammar and punctuation, including proper citation format.  </w:t>
      </w:r>
    </w:p>
    <w:p w14:paraId="3C4D5346" w14:textId="77777777" w:rsidR="003C4874" w:rsidRPr="00B2274C" w:rsidRDefault="003C4874" w:rsidP="00536AD6"/>
    <w:p w14:paraId="17B9642E" w14:textId="77777777" w:rsidR="006A64F4" w:rsidRDefault="003C4874" w:rsidP="006A64F4">
      <w:pPr>
        <w:rPr>
          <w:rStyle w:val="Hyperlink"/>
        </w:rPr>
      </w:pPr>
      <w:r w:rsidRPr="00B2274C">
        <w:t xml:space="preserve">Even the most accomplished writer may benefit from having a second pair of eyes look over their paper.  I encourage you to make the most of the support provided by the Writing Center.   </w:t>
      </w:r>
      <w:hyperlink r:id="rId8" w:history="1">
        <w:r w:rsidRPr="00B2274C">
          <w:rPr>
            <w:rStyle w:val="Hyperlink"/>
          </w:rPr>
          <w:t>https://www.skidmore.edu/writingcenter/</w:t>
        </w:r>
      </w:hyperlink>
    </w:p>
    <w:p w14:paraId="786199DC" w14:textId="77777777" w:rsidR="006A64F4" w:rsidRDefault="006A64F4" w:rsidP="006A64F4">
      <w:pPr>
        <w:rPr>
          <w:rStyle w:val="Hyperlink"/>
        </w:rPr>
      </w:pPr>
    </w:p>
    <w:p w14:paraId="0E6BA4DC" w14:textId="3F44B77A" w:rsidR="006A64F4" w:rsidRPr="006A64F4" w:rsidRDefault="006A64F4" w:rsidP="006A64F4">
      <w:pPr>
        <w:rPr>
          <w:color w:val="0000FF"/>
          <w:u w:val="single"/>
        </w:rPr>
      </w:pPr>
      <w:r w:rsidRPr="006A64F4">
        <w:rPr>
          <w:rStyle w:val="Hyperlink"/>
          <w:color w:val="000000" w:themeColor="text1"/>
          <w:u w:val="none"/>
        </w:rPr>
        <w:t xml:space="preserve">2. </w:t>
      </w:r>
      <w:r w:rsidRPr="006A64F4">
        <w:rPr>
          <w:b/>
        </w:rPr>
        <w:t>Daily/weekly responses to the readin</w:t>
      </w:r>
      <w:r w:rsidRPr="006A64F4">
        <w:rPr>
          <w:b/>
        </w:rPr>
        <w:t>g.</w:t>
      </w:r>
      <w:r>
        <w:t xml:space="preserve"> </w:t>
      </w:r>
      <w:r w:rsidRPr="00887B90">
        <w:t xml:space="preserve"> Studies have shown that any written reflection on an assigned reading aids in comprehension.   Digital technology now allows us to super-charge that technique by enabling us to pool our annotations, and thus complexify our knowledge and insight.  I will ask you to create </w:t>
      </w:r>
      <w:r>
        <w:t>a free account for one</w:t>
      </w:r>
      <w:r w:rsidRPr="00887B90">
        <w:t xml:space="preserve"> such platforms</w:t>
      </w:r>
      <w:r>
        <w:t xml:space="preserve">, </w:t>
      </w:r>
      <w:r w:rsidRPr="00887B90">
        <w:t>Perusall.co</w:t>
      </w:r>
      <w:r>
        <w:t xml:space="preserve">m, </w:t>
      </w:r>
      <w:r w:rsidRPr="00887B90">
        <w:t xml:space="preserve">where you will socially annotate and respond to the readings on a daily or weekly basis.  </w:t>
      </w:r>
    </w:p>
    <w:p w14:paraId="694556DF" w14:textId="77777777" w:rsidR="006A64F4" w:rsidRDefault="006A64F4" w:rsidP="0045527D">
      <w:pPr>
        <w:pStyle w:val="BodyText2"/>
        <w:rPr>
          <w:rFonts w:ascii="Times New Roman" w:hAnsi="Times New Roman"/>
          <w:szCs w:val="24"/>
        </w:rPr>
      </w:pPr>
    </w:p>
    <w:p w14:paraId="79193A61" w14:textId="52A0435E" w:rsidR="0045527D" w:rsidRDefault="006A64F4" w:rsidP="0045527D">
      <w:pPr>
        <w:pStyle w:val="BodyText2"/>
        <w:rPr>
          <w:rFonts w:ascii="Times New Roman" w:hAnsi="Times New Roman"/>
          <w:b w:val="0"/>
          <w:color w:val="000000"/>
        </w:rPr>
      </w:pPr>
      <w:r>
        <w:rPr>
          <w:rFonts w:ascii="Times New Roman" w:hAnsi="Times New Roman"/>
          <w:szCs w:val="24"/>
        </w:rPr>
        <w:t xml:space="preserve">3. </w:t>
      </w:r>
      <w:r w:rsidR="0045527D" w:rsidRPr="00B2274C">
        <w:rPr>
          <w:rStyle w:val="highlight"/>
          <w:rFonts w:ascii="Times New Roman" w:hAnsi="Times New Roman"/>
        </w:rPr>
        <w:t>Late</w:t>
      </w:r>
      <w:r w:rsidR="0045527D" w:rsidRPr="00B2274C">
        <w:rPr>
          <w:rFonts w:ascii="Times New Roman" w:hAnsi="Times New Roman"/>
        </w:rPr>
        <w:t xml:space="preserve"> </w:t>
      </w:r>
      <w:r w:rsidR="0045527D" w:rsidRPr="00B2274C">
        <w:rPr>
          <w:rStyle w:val="highlight"/>
          <w:rFonts w:ascii="Times New Roman" w:hAnsi="Times New Roman"/>
        </w:rPr>
        <w:t>paper</w:t>
      </w:r>
      <w:r w:rsidR="0045527D" w:rsidRPr="00B2274C">
        <w:rPr>
          <w:rFonts w:ascii="Times New Roman" w:hAnsi="Times New Roman"/>
        </w:rPr>
        <w:t xml:space="preserve"> </w:t>
      </w:r>
      <w:r w:rsidR="0045527D" w:rsidRPr="00B2274C">
        <w:rPr>
          <w:rStyle w:val="highlight"/>
          <w:rFonts w:ascii="Times New Roman" w:hAnsi="Times New Roman"/>
        </w:rPr>
        <w:t>policy</w:t>
      </w:r>
      <w:r w:rsidR="0045527D" w:rsidRPr="00B2274C">
        <w:rPr>
          <w:rFonts w:ascii="Times New Roman" w:hAnsi="Times New Roman"/>
        </w:rPr>
        <w:t>, borrowed from IGR: </w:t>
      </w:r>
      <w:r w:rsidR="00671951">
        <w:rPr>
          <w:rFonts w:ascii="Times New Roman" w:hAnsi="Times New Roman"/>
          <w:b w:val="0"/>
          <w:color w:val="000000"/>
        </w:rPr>
        <w:t>I allow a 24-hour “grace”</w:t>
      </w:r>
      <w:r w:rsidR="0045527D" w:rsidRPr="00B2274C">
        <w:rPr>
          <w:rFonts w:ascii="Times New Roman" w:hAnsi="Times New Roman"/>
          <w:b w:val="0"/>
          <w:color w:val="000000"/>
        </w:rPr>
        <w:t xml:space="preserve"> period after the deadline during which you may turn in a </w:t>
      </w:r>
      <w:r w:rsidR="0045527D" w:rsidRPr="00B2274C">
        <w:rPr>
          <w:rStyle w:val="highlight"/>
          <w:rFonts w:ascii="Times New Roman" w:hAnsi="Times New Roman"/>
          <w:b w:val="0"/>
          <w:color w:val="000000"/>
        </w:rPr>
        <w:t>paper</w:t>
      </w:r>
      <w:r w:rsidR="0045527D" w:rsidRPr="00B2274C">
        <w:rPr>
          <w:rFonts w:ascii="Times New Roman" w:hAnsi="Times New Roman"/>
          <w:b w:val="0"/>
          <w:color w:val="000000"/>
        </w:rPr>
        <w:t xml:space="preserve"> with no penalty, because…stuff happens.   After that, though, I will deduct 1/3 of a grade for each day a paper is not turned in (e.g. a B+ would become a B, then a B-, then a C+, for each 24 hour interval it is turned in </w:t>
      </w:r>
      <w:r w:rsidR="0045527D" w:rsidRPr="00B2274C">
        <w:rPr>
          <w:rStyle w:val="highlight"/>
          <w:rFonts w:ascii="Times New Roman" w:hAnsi="Times New Roman"/>
          <w:b w:val="0"/>
          <w:color w:val="000000"/>
        </w:rPr>
        <w:t>late</w:t>
      </w:r>
      <w:r w:rsidR="0045527D" w:rsidRPr="00B2274C">
        <w:rPr>
          <w:rFonts w:ascii="Times New Roman" w:hAnsi="Times New Roman"/>
          <w:b w:val="0"/>
          <w:color w:val="000000"/>
        </w:rPr>
        <w:t>).  </w:t>
      </w:r>
    </w:p>
    <w:p w14:paraId="3F256007" w14:textId="77777777" w:rsidR="0045527D" w:rsidRPr="00B2274C" w:rsidRDefault="0045527D" w:rsidP="0045527D">
      <w:pPr>
        <w:pStyle w:val="BodyText2"/>
        <w:rPr>
          <w:rFonts w:ascii="Times New Roman" w:hAnsi="Times New Roman"/>
          <w:szCs w:val="24"/>
        </w:rPr>
      </w:pPr>
    </w:p>
    <w:p w14:paraId="2B4D2F94" w14:textId="77777777" w:rsidR="00536AD6" w:rsidRPr="00B2274C" w:rsidRDefault="00536AD6">
      <w:pPr>
        <w:rPr>
          <w:b/>
        </w:rPr>
      </w:pPr>
      <w:r w:rsidRPr="00B2274C">
        <w:rPr>
          <w:b/>
        </w:rPr>
        <w:t>IV. Evaluation:</w:t>
      </w:r>
    </w:p>
    <w:p w14:paraId="4B2714AF" w14:textId="77777777" w:rsidR="00536AD6" w:rsidRPr="00B2274C" w:rsidRDefault="00536AD6"/>
    <w:p w14:paraId="35516833" w14:textId="77777777" w:rsidR="00536AD6" w:rsidRPr="00B2274C" w:rsidRDefault="00536AD6" w:rsidP="00536AD6">
      <w:pPr>
        <w:numPr>
          <w:ilvl w:val="0"/>
          <w:numId w:val="16"/>
        </w:numPr>
        <w:rPr>
          <w:b/>
        </w:rPr>
      </w:pPr>
      <w:r w:rsidRPr="00B2274C">
        <w:rPr>
          <w:b/>
        </w:rPr>
        <w:t>Grading Summary</w:t>
      </w:r>
    </w:p>
    <w:p w14:paraId="0F173237" w14:textId="77777777" w:rsidR="00536AD6" w:rsidRPr="00B2274C" w:rsidRDefault="00536AD6">
      <w:r w:rsidRPr="00B2274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50"/>
        <w:gridCol w:w="2047"/>
      </w:tblGrid>
      <w:tr w:rsidR="003C4874" w:rsidRPr="00B2274C" w14:paraId="0C04D433" w14:textId="77777777" w:rsidTr="00D442E2">
        <w:trPr>
          <w:trHeight w:val="431"/>
        </w:trPr>
        <w:tc>
          <w:tcPr>
            <w:tcW w:w="3078" w:type="dxa"/>
          </w:tcPr>
          <w:p w14:paraId="07EE189D" w14:textId="77777777" w:rsidR="003C4874" w:rsidRPr="00B2274C" w:rsidRDefault="003C4874">
            <w:pPr>
              <w:rPr>
                <w:b/>
                <w:lang w:bidi="x-none"/>
              </w:rPr>
            </w:pPr>
            <w:r w:rsidRPr="00B2274C">
              <w:rPr>
                <w:b/>
                <w:lang w:bidi="x-none"/>
              </w:rPr>
              <w:t>Assignment</w:t>
            </w:r>
          </w:p>
        </w:tc>
        <w:tc>
          <w:tcPr>
            <w:tcW w:w="2250" w:type="dxa"/>
          </w:tcPr>
          <w:p w14:paraId="5432EE17" w14:textId="77777777" w:rsidR="003C4874" w:rsidRPr="00B2274C" w:rsidRDefault="003C4874">
            <w:pPr>
              <w:rPr>
                <w:b/>
                <w:lang w:bidi="x-none"/>
              </w:rPr>
            </w:pPr>
            <w:r w:rsidRPr="00B2274C">
              <w:rPr>
                <w:b/>
                <w:lang w:bidi="x-none"/>
              </w:rPr>
              <w:t>Due Date</w:t>
            </w:r>
          </w:p>
        </w:tc>
        <w:tc>
          <w:tcPr>
            <w:tcW w:w="2047" w:type="dxa"/>
          </w:tcPr>
          <w:p w14:paraId="40E4C4E4" w14:textId="77777777" w:rsidR="003C4874" w:rsidRPr="00B2274C" w:rsidRDefault="003C4874">
            <w:pPr>
              <w:rPr>
                <w:b/>
                <w:lang w:bidi="x-none"/>
              </w:rPr>
            </w:pPr>
            <w:r w:rsidRPr="00B2274C">
              <w:rPr>
                <w:b/>
                <w:lang w:bidi="x-none"/>
              </w:rPr>
              <w:t>Percentage</w:t>
            </w:r>
          </w:p>
        </w:tc>
      </w:tr>
      <w:tr w:rsidR="003C4874" w:rsidRPr="00B2274C" w14:paraId="6DD5DABD" w14:textId="77777777" w:rsidTr="00D442E2">
        <w:tc>
          <w:tcPr>
            <w:tcW w:w="3078" w:type="dxa"/>
          </w:tcPr>
          <w:p w14:paraId="304D5DE1" w14:textId="51B4CBBE" w:rsidR="003C4874" w:rsidRPr="00B2274C" w:rsidRDefault="00D442E2" w:rsidP="00536AD6">
            <w:pPr>
              <w:rPr>
                <w:lang w:bidi="x-none"/>
              </w:rPr>
            </w:pPr>
            <w:r>
              <w:rPr>
                <w:lang w:bidi="x-none"/>
              </w:rPr>
              <w:t>Four module synthesis papers</w:t>
            </w:r>
          </w:p>
        </w:tc>
        <w:tc>
          <w:tcPr>
            <w:tcW w:w="2250" w:type="dxa"/>
          </w:tcPr>
          <w:p w14:paraId="231740CE" w14:textId="089D8A42" w:rsidR="003C4874" w:rsidRPr="00B2274C" w:rsidRDefault="0099722E">
            <w:pPr>
              <w:rPr>
                <w:lang w:bidi="x-none"/>
              </w:rPr>
            </w:pPr>
            <w:r>
              <w:rPr>
                <w:lang w:bidi="x-none"/>
              </w:rPr>
              <w:t xml:space="preserve">3/1, 3/12, 4/2, 4/19 </w:t>
            </w:r>
            <w:r w:rsidR="003C4874" w:rsidRPr="00B2274C">
              <w:rPr>
                <w:lang w:bidi="x-none"/>
              </w:rPr>
              <w:t xml:space="preserve"> </w:t>
            </w:r>
          </w:p>
        </w:tc>
        <w:tc>
          <w:tcPr>
            <w:tcW w:w="2047" w:type="dxa"/>
          </w:tcPr>
          <w:p w14:paraId="4E1DDDED" w14:textId="1FF90859" w:rsidR="003C4874" w:rsidRPr="00B2274C" w:rsidRDefault="003C4874">
            <w:pPr>
              <w:rPr>
                <w:lang w:bidi="x-none"/>
              </w:rPr>
            </w:pPr>
            <w:r w:rsidRPr="00B2274C">
              <w:rPr>
                <w:lang w:bidi="x-none"/>
              </w:rPr>
              <w:t>1</w:t>
            </w:r>
            <w:r w:rsidR="00D442E2">
              <w:rPr>
                <w:lang w:bidi="x-none"/>
              </w:rPr>
              <w:t>5</w:t>
            </w:r>
            <w:r w:rsidRPr="00B2274C">
              <w:rPr>
                <w:lang w:bidi="x-none"/>
              </w:rPr>
              <w:t>%</w:t>
            </w:r>
            <w:r w:rsidR="00D442E2">
              <w:rPr>
                <w:lang w:bidi="x-none"/>
              </w:rPr>
              <w:t xml:space="preserve"> </w:t>
            </w:r>
            <w:proofErr w:type="gramStart"/>
            <w:r w:rsidR="00D442E2">
              <w:rPr>
                <w:lang w:bidi="x-none"/>
              </w:rPr>
              <w:t>each  =</w:t>
            </w:r>
            <w:proofErr w:type="gramEnd"/>
            <w:r w:rsidR="00D442E2">
              <w:rPr>
                <w:lang w:bidi="x-none"/>
              </w:rPr>
              <w:t xml:space="preserve"> 60%</w:t>
            </w:r>
          </w:p>
        </w:tc>
      </w:tr>
      <w:tr w:rsidR="00D442E2" w:rsidRPr="00B2274C" w14:paraId="5BA3A4FA" w14:textId="77777777" w:rsidTr="00D442E2">
        <w:tc>
          <w:tcPr>
            <w:tcW w:w="3078" w:type="dxa"/>
          </w:tcPr>
          <w:p w14:paraId="2DFB71DE" w14:textId="152B5E89" w:rsidR="00D442E2" w:rsidRDefault="00D442E2" w:rsidP="00536AD6">
            <w:pPr>
              <w:rPr>
                <w:lang w:bidi="x-none"/>
              </w:rPr>
            </w:pPr>
            <w:r>
              <w:rPr>
                <w:lang w:bidi="x-none"/>
              </w:rPr>
              <w:t>Final exam (short synthetic essay on fifth module + short self-reflection essay)</w:t>
            </w:r>
          </w:p>
        </w:tc>
        <w:tc>
          <w:tcPr>
            <w:tcW w:w="2250" w:type="dxa"/>
          </w:tcPr>
          <w:p w14:paraId="224C16F6" w14:textId="77777777" w:rsidR="00D442E2" w:rsidRPr="00B2274C" w:rsidRDefault="00D442E2">
            <w:pPr>
              <w:rPr>
                <w:lang w:bidi="x-none"/>
              </w:rPr>
            </w:pPr>
            <w:r>
              <w:rPr>
                <w:lang w:bidi="x-none"/>
              </w:rPr>
              <w:t>5/12</w:t>
            </w:r>
          </w:p>
        </w:tc>
        <w:tc>
          <w:tcPr>
            <w:tcW w:w="2047" w:type="dxa"/>
          </w:tcPr>
          <w:p w14:paraId="5C198F84" w14:textId="698E5583" w:rsidR="00D442E2" w:rsidRPr="00B2274C" w:rsidRDefault="00D442E2">
            <w:pPr>
              <w:rPr>
                <w:lang w:bidi="x-none"/>
              </w:rPr>
            </w:pPr>
            <w:r>
              <w:rPr>
                <w:lang w:bidi="x-none"/>
              </w:rPr>
              <w:t>10%</w:t>
            </w:r>
          </w:p>
        </w:tc>
      </w:tr>
      <w:tr w:rsidR="003C4874" w:rsidRPr="00B2274C" w14:paraId="511E4597" w14:textId="77777777" w:rsidTr="00D442E2">
        <w:tc>
          <w:tcPr>
            <w:tcW w:w="3078" w:type="dxa"/>
          </w:tcPr>
          <w:p w14:paraId="425B3CF7" w14:textId="77777777" w:rsidR="003C4874" w:rsidRPr="00B2274C" w:rsidRDefault="003C4874">
            <w:pPr>
              <w:rPr>
                <w:lang w:bidi="x-none"/>
              </w:rPr>
            </w:pPr>
            <w:r w:rsidRPr="00B2274C">
              <w:rPr>
                <w:lang w:bidi="x-none"/>
              </w:rPr>
              <w:t>Attendance and participation</w:t>
            </w:r>
          </w:p>
        </w:tc>
        <w:tc>
          <w:tcPr>
            <w:tcW w:w="2250" w:type="dxa"/>
          </w:tcPr>
          <w:p w14:paraId="413EAD51" w14:textId="77777777" w:rsidR="003C4874" w:rsidRPr="00B2274C" w:rsidRDefault="003C4874">
            <w:pPr>
              <w:rPr>
                <w:lang w:bidi="x-none"/>
              </w:rPr>
            </w:pPr>
            <w:r w:rsidRPr="00B2274C">
              <w:rPr>
                <w:lang w:bidi="x-none"/>
              </w:rPr>
              <w:t>Ongoing</w:t>
            </w:r>
          </w:p>
        </w:tc>
        <w:tc>
          <w:tcPr>
            <w:tcW w:w="2047" w:type="dxa"/>
          </w:tcPr>
          <w:p w14:paraId="1C8BD13F" w14:textId="14736F2A" w:rsidR="003C4874" w:rsidRPr="00B2274C" w:rsidRDefault="00D442E2">
            <w:pPr>
              <w:rPr>
                <w:lang w:bidi="x-none"/>
              </w:rPr>
            </w:pPr>
            <w:r>
              <w:rPr>
                <w:lang w:bidi="x-none"/>
              </w:rPr>
              <w:t>10</w:t>
            </w:r>
            <w:r w:rsidR="003C4874" w:rsidRPr="00B2274C">
              <w:rPr>
                <w:lang w:bidi="x-none"/>
              </w:rPr>
              <w:t>%</w:t>
            </w:r>
          </w:p>
        </w:tc>
      </w:tr>
      <w:tr w:rsidR="00D442E2" w:rsidRPr="00B2274C" w14:paraId="7DD19B5D" w14:textId="77777777" w:rsidTr="00D442E2">
        <w:tc>
          <w:tcPr>
            <w:tcW w:w="3078" w:type="dxa"/>
          </w:tcPr>
          <w:p w14:paraId="2DAD23CC" w14:textId="222D66F1" w:rsidR="00D442E2" w:rsidRPr="00B2274C" w:rsidRDefault="00D442E2">
            <w:pPr>
              <w:rPr>
                <w:lang w:bidi="x-none"/>
              </w:rPr>
            </w:pPr>
            <w:r>
              <w:rPr>
                <w:lang w:bidi="x-none"/>
              </w:rPr>
              <w:t>Social annotation of readings (</w:t>
            </w:r>
            <w:proofErr w:type="spellStart"/>
            <w:r>
              <w:rPr>
                <w:lang w:bidi="x-none"/>
              </w:rPr>
              <w:t>Perusall</w:t>
            </w:r>
            <w:proofErr w:type="spellEnd"/>
            <w:r>
              <w:rPr>
                <w:lang w:bidi="x-none"/>
              </w:rPr>
              <w:t>)</w:t>
            </w:r>
          </w:p>
        </w:tc>
        <w:tc>
          <w:tcPr>
            <w:tcW w:w="2250" w:type="dxa"/>
          </w:tcPr>
          <w:p w14:paraId="66431FB9" w14:textId="2FABB6BE" w:rsidR="00D442E2" w:rsidRPr="00B2274C" w:rsidRDefault="00D442E2">
            <w:pPr>
              <w:rPr>
                <w:lang w:bidi="x-none"/>
              </w:rPr>
            </w:pPr>
            <w:r>
              <w:rPr>
                <w:lang w:bidi="x-none"/>
              </w:rPr>
              <w:t xml:space="preserve">Ongoing </w:t>
            </w:r>
          </w:p>
        </w:tc>
        <w:tc>
          <w:tcPr>
            <w:tcW w:w="2047" w:type="dxa"/>
          </w:tcPr>
          <w:p w14:paraId="3824FB83" w14:textId="77777777" w:rsidR="00D442E2" w:rsidRDefault="00D442E2">
            <w:pPr>
              <w:rPr>
                <w:lang w:bidi="x-none"/>
              </w:rPr>
            </w:pPr>
            <w:r>
              <w:rPr>
                <w:lang w:bidi="x-none"/>
              </w:rPr>
              <w:t>6%</w:t>
            </w:r>
          </w:p>
        </w:tc>
      </w:tr>
      <w:tr w:rsidR="003C4874" w:rsidRPr="00B2274C" w14:paraId="396D7B49" w14:textId="77777777" w:rsidTr="00D442E2">
        <w:tc>
          <w:tcPr>
            <w:tcW w:w="3078" w:type="dxa"/>
          </w:tcPr>
          <w:p w14:paraId="11608D59" w14:textId="5222CA5B" w:rsidR="003C4874" w:rsidRPr="00B2274C" w:rsidRDefault="00B373BB">
            <w:pPr>
              <w:rPr>
                <w:lang w:bidi="x-none"/>
              </w:rPr>
            </w:pPr>
            <w:r>
              <w:rPr>
                <w:lang w:bidi="x-none"/>
              </w:rPr>
              <w:t>Nature writing</w:t>
            </w:r>
          </w:p>
        </w:tc>
        <w:tc>
          <w:tcPr>
            <w:tcW w:w="2250" w:type="dxa"/>
          </w:tcPr>
          <w:p w14:paraId="401B3A7E" w14:textId="27E58B64" w:rsidR="003C4874" w:rsidRPr="00B2274C" w:rsidRDefault="00203B6E">
            <w:pPr>
              <w:rPr>
                <w:lang w:bidi="x-none"/>
              </w:rPr>
            </w:pPr>
            <w:r>
              <w:rPr>
                <w:lang w:bidi="x-none"/>
              </w:rPr>
              <w:t>4/12</w:t>
            </w:r>
          </w:p>
        </w:tc>
        <w:tc>
          <w:tcPr>
            <w:tcW w:w="2047" w:type="dxa"/>
          </w:tcPr>
          <w:p w14:paraId="6F9FBF39" w14:textId="16FFEE74" w:rsidR="003C4874" w:rsidRPr="00B2274C" w:rsidRDefault="00B373BB">
            <w:pPr>
              <w:rPr>
                <w:lang w:bidi="x-none"/>
              </w:rPr>
            </w:pPr>
            <w:r>
              <w:rPr>
                <w:lang w:bidi="x-none"/>
              </w:rPr>
              <w:t>1</w:t>
            </w:r>
            <w:r w:rsidR="00D442E2">
              <w:rPr>
                <w:lang w:bidi="x-none"/>
              </w:rPr>
              <w:t>0</w:t>
            </w:r>
            <w:r>
              <w:rPr>
                <w:lang w:bidi="x-none"/>
              </w:rPr>
              <w:t>%</w:t>
            </w:r>
          </w:p>
        </w:tc>
      </w:tr>
      <w:tr w:rsidR="003C4874" w:rsidRPr="00B2274C" w14:paraId="0B0A52DE" w14:textId="77777777" w:rsidTr="00D442E2">
        <w:tc>
          <w:tcPr>
            <w:tcW w:w="3078" w:type="dxa"/>
          </w:tcPr>
          <w:p w14:paraId="381F807A" w14:textId="6A3CD3A8" w:rsidR="003C4874" w:rsidRPr="00B2274C" w:rsidRDefault="00D442E2">
            <w:pPr>
              <w:rPr>
                <w:lang w:bidi="x-none"/>
              </w:rPr>
            </w:pPr>
            <w:r>
              <w:rPr>
                <w:lang w:bidi="x-none"/>
              </w:rPr>
              <w:t>Research-a-thon!</w:t>
            </w:r>
          </w:p>
        </w:tc>
        <w:tc>
          <w:tcPr>
            <w:tcW w:w="2250" w:type="dxa"/>
          </w:tcPr>
          <w:p w14:paraId="2B90A3CF" w14:textId="38C60493" w:rsidR="003C4874" w:rsidRPr="00B2274C" w:rsidRDefault="00D442E2">
            <w:pPr>
              <w:rPr>
                <w:lang w:bidi="x-none"/>
              </w:rPr>
            </w:pPr>
            <w:r>
              <w:rPr>
                <w:lang w:bidi="x-none"/>
              </w:rPr>
              <w:t>Btw. 3/1 and 3/5</w:t>
            </w:r>
          </w:p>
        </w:tc>
        <w:tc>
          <w:tcPr>
            <w:tcW w:w="2047" w:type="dxa"/>
          </w:tcPr>
          <w:p w14:paraId="66E90DB8" w14:textId="1FAA3EC4" w:rsidR="003C4874" w:rsidRPr="00B2274C" w:rsidRDefault="003C4874">
            <w:pPr>
              <w:rPr>
                <w:lang w:bidi="x-none"/>
              </w:rPr>
            </w:pPr>
            <w:r w:rsidRPr="00B2274C">
              <w:rPr>
                <w:lang w:bidi="x-none"/>
              </w:rPr>
              <w:t>2%</w:t>
            </w:r>
          </w:p>
        </w:tc>
      </w:tr>
    </w:tbl>
    <w:p w14:paraId="2619B34A" w14:textId="77777777" w:rsidR="00536AD6" w:rsidRPr="00B2274C" w:rsidRDefault="00536AD6"/>
    <w:p w14:paraId="42FFF0E7" w14:textId="35A3D3F0" w:rsidR="00536AD6" w:rsidRPr="00B2274C" w:rsidRDefault="00536AD6" w:rsidP="00536AD6">
      <w:r w:rsidRPr="00B2274C">
        <w:rPr>
          <w:b/>
        </w:rPr>
        <w:t>B.  Grading Standards:</w:t>
      </w:r>
      <w:r w:rsidRPr="00B2274C">
        <w:t xml:space="preserve"> The following is designed to help you think about the level of participation you’re prepared to give to this course, and the final grade you would like to shoot for.  (Obviously, finer gradations </w:t>
      </w:r>
      <w:r w:rsidR="00671951">
        <w:t xml:space="preserve">are possible </w:t>
      </w:r>
      <w:r w:rsidRPr="00B2274C">
        <w:t>for each of the grades discussed below, e.g. A-, B+, C+)</w:t>
      </w:r>
    </w:p>
    <w:p w14:paraId="6FC9B1A5" w14:textId="296EEA4B" w:rsidR="00536AD6" w:rsidRPr="00B2274C" w:rsidRDefault="00536AD6" w:rsidP="00536AD6">
      <w:r w:rsidRPr="00B2274C">
        <w:t xml:space="preserve">1. “A” signifies outstanding.  To earn that, you need to (a) maintain regular attendance and demonstrate excellence in discussion; </w:t>
      </w:r>
      <w:r w:rsidR="0050068E">
        <w:t xml:space="preserve">(b) </w:t>
      </w:r>
      <w:r w:rsidRPr="00B2274C">
        <w:t xml:space="preserve">do a thorough, analytically acute job on the </w:t>
      </w:r>
      <w:r w:rsidR="00D442E2">
        <w:t>module synthesis</w:t>
      </w:r>
      <w:r w:rsidRPr="00B2274C">
        <w:t xml:space="preserve"> papers</w:t>
      </w:r>
      <w:r w:rsidR="00112461" w:rsidRPr="00B2274C">
        <w:t xml:space="preserve"> and final </w:t>
      </w:r>
      <w:r w:rsidR="00D442E2">
        <w:t>exam</w:t>
      </w:r>
      <w:r w:rsidRPr="00B2274C">
        <w:t xml:space="preserve"> and get them in on time.  </w:t>
      </w:r>
    </w:p>
    <w:p w14:paraId="27B0FE14" w14:textId="34301D91" w:rsidR="00536AD6" w:rsidRPr="00B2274C" w:rsidRDefault="00671951" w:rsidP="00671951">
      <w:pPr>
        <w:tabs>
          <w:tab w:val="left" w:pos="360"/>
        </w:tabs>
      </w:pPr>
      <w:r>
        <w:tab/>
      </w:r>
      <w:r w:rsidR="00536AD6" w:rsidRPr="00B2274C">
        <w:t>In addition, to me</w:t>
      </w:r>
      <w:r w:rsidR="00112461" w:rsidRPr="00B2274C">
        <w:t xml:space="preserve">rit an “A” your writing in the </w:t>
      </w:r>
      <w:r w:rsidR="00D442E2">
        <w:t>module synthesis</w:t>
      </w:r>
      <w:r w:rsidR="00112461" w:rsidRPr="00B2274C">
        <w:t xml:space="preserve"> papers and the final </w:t>
      </w:r>
      <w:r w:rsidR="00C27FC5">
        <w:t>exam</w:t>
      </w:r>
      <w:r w:rsidR="00536AD6" w:rsidRPr="00B2274C">
        <w:t xml:space="preserve"> must reflect the following: a statement in the first paragraph of what you intend to accomplish; </w:t>
      </w:r>
      <w:r w:rsidR="00536AD6" w:rsidRPr="00B2274C">
        <w:lastRenderedPageBreak/>
        <w:t>correct grammar and accurate spelling; depth and complexity in your engagement with the materials (re</w:t>
      </w:r>
      <w:r w:rsidR="00112461" w:rsidRPr="00B2274C">
        <w:t xml:space="preserve">adings, lectures, films, etc.) marked by </w:t>
      </w:r>
      <w:r w:rsidR="00536AD6" w:rsidRPr="00B2274C">
        <w:t xml:space="preserve">an exceptionally creative original contribution--a new idea, a different way of thinking about the issue(s) you’re discussing--that takes you beyond the accurate presentation of someone else’s ideas. </w:t>
      </w:r>
    </w:p>
    <w:p w14:paraId="4C1017E9" w14:textId="34EAFFFE" w:rsidR="00536AD6" w:rsidRPr="00B2274C" w:rsidRDefault="00536AD6" w:rsidP="00536AD6">
      <w:proofErr w:type="gramStart"/>
      <w:r w:rsidRPr="00B2274C">
        <w:t>2.  “</w:t>
      </w:r>
      <w:proofErr w:type="gramEnd"/>
      <w:r w:rsidRPr="00B2274C">
        <w:t xml:space="preserve">B” signifies good; it is a solid, good grade.  To earn that, you need to (a) maintain regular attendance and participation in discussion; (b) do a thorough job on the </w:t>
      </w:r>
      <w:r w:rsidR="00D442E2">
        <w:t>module synthesis</w:t>
      </w:r>
      <w:r w:rsidRPr="00B2274C">
        <w:t xml:space="preserve"> papers</w:t>
      </w:r>
      <w:r w:rsidR="00112461" w:rsidRPr="00B2274C">
        <w:t xml:space="preserve"> and final </w:t>
      </w:r>
      <w:r w:rsidR="00C27FC5">
        <w:t>exam</w:t>
      </w:r>
      <w:r w:rsidRPr="00B2274C">
        <w:t xml:space="preserve"> and get them in on time.  </w:t>
      </w:r>
    </w:p>
    <w:p w14:paraId="20722CE6" w14:textId="1F01A852" w:rsidR="00536AD6" w:rsidRPr="00B2274C" w:rsidRDefault="00671951" w:rsidP="00671951">
      <w:pPr>
        <w:tabs>
          <w:tab w:val="left" w:pos="360"/>
        </w:tabs>
      </w:pPr>
      <w:r>
        <w:tab/>
      </w:r>
      <w:r w:rsidR="00536AD6" w:rsidRPr="00B2274C">
        <w:t>In addition, a “B” grade essay typically contains: a statement in the first paragraph of what you intend to accomplish; correct grammar and accurate spelling; solid engagement with the materials (readings, lecture</w:t>
      </w:r>
      <w:r w:rsidR="00112461" w:rsidRPr="00B2274C">
        <w:t>s, films, etc.)</w:t>
      </w:r>
      <w:r w:rsidR="00536AD6" w:rsidRPr="00B2274C">
        <w:t xml:space="preserve">.   </w:t>
      </w:r>
    </w:p>
    <w:p w14:paraId="57313291" w14:textId="366B9595" w:rsidR="00536AD6" w:rsidRPr="00B2274C" w:rsidRDefault="00536AD6" w:rsidP="00536AD6">
      <w:r w:rsidRPr="00B2274C">
        <w:t xml:space="preserve">3. “C” stands for satisfactory.  To earn that, you need to (a) maintain regular attendance and participation in discussion; (b) do a satisfactory job on the </w:t>
      </w:r>
      <w:r w:rsidR="00D442E2">
        <w:t>module synthesis</w:t>
      </w:r>
      <w:r w:rsidRPr="00B2274C">
        <w:t xml:space="preserve"> papers </w:t>
      </w:r>
      <w:r w:rsidR="00112461" w:rsidRPr="00B2274C">
        <w:t xml:space="preserve">and final </w:t>
      </w:r>
      <w:r w:rsidR="00C27FC5">
        <w:t>exam</w:t>
      </w:r>
      <w:r w:rsidR="00112461" w:rsidRPr="00B2274C">
        <w:t xml:space="preserve"> </w:t>
      </w:r>
      <w:r w:rsidRPr="00B2274C">
        <w:t xml:space="preserve">that meets the requirements of the assignment, and get them in on time.  </w:t>
      </w:r>
    </w:p>
    <w:p w14:paraId="156DDBAA" w14:textId="77777777" w:rsidR="00536AD6" w:rsidRPr="00B2274C" w:rsidRDefault="00536AD6" w:rsidP="00536AD6">
      <w:pPr>
        <w:tabs>
          <w:tab w:val="left" w:pos="270"/>
          <w:tab w:val="left" w:pos="720"/>
        </w:tabs>
      </w:pPr>
      <w:r w:rsidRPr="00B2274C">
        <w:tab/>
        <w:t>In addition, “C” level essays contain no statement of intent, or a confused one; occasionally lapse into bad grammar or incorrect spelling; replace full sentences with fragments; misconstrue or distort key ideas; display no clear development leading to a supportable conclusion.</w:t>
      </w:r>
    </w:p>
    <w:p w14:paraId="3290CD51" w14:textId="50D90AAF" w:rsidR="00536AD6" w:rsidRPr="00B2274C" w:rsidRDefault="00536AD6" w:rsidP="00536AD6">
      <w:pPr>
        <w:numPr>
          <w:ilvl w:val="0"/>
          <w:numId w:val="18"/>
        </w:numPr>
        <w:tabs>
          <w:tab w:val="clear" w:pos="720"/>
          <w:tab w:val="num" w:pos="0"/>
          <w:tab w:val="left" w:pos="360"/>
        </w:tabs>
        <w:ind w:left="0" w:firstLine="0"/>
      </w:pPr>
      <w:r w:rsidRPr="00B2274C">
        <w:t xml:space="preserve">To fall </w:t>
      </w:r>
      <w:r w:rsidRPr="00B2274C">
        <w:rPr>
          <w:u w:val="single"/>
        </w:rPr>
        <w:t>below</w:t>
      </w:r>
      <w:r w:rsidRPr="00B2274C">
        <w:t xml:space="preserve"> satisfactory (i.e. C-, D), you could be consistently unable to </w:t>
      </w:r>
      <w:r w:rsidR="00F55454" w:rsidRPr="00B2274C">
        <w:t>contribute to</w:t>
      </w:r>
      <w:r w:rsidRPr="00B2274C">
        <w:t xml:space="preserve"> the class discussion when </w:t>
      </w:r>
      <w:r w:rsidR="00F55454" w:rsidRPr="00B2274C">
        <w:t>called on due</w:t>
      </w:r>
      <w:r w:rsidRPr="00B2274C">
        <w:t xml:space="preserve"> to lack of preparation, skip </w:t>
      </w:r>
      <w:r w:rsidR="00D442E2">
        <w:t>one or more papers altogether</w:t>
      </w:r>
      <w:r w:rsidR="00F55454" w:rsidRPr="00B2274C">
        <w:t xml:space="preserve"> or </w:t>
      </w:r>
      <w:r w:rsidRPr="00B2274C">
        <w:t xml:space="preserve">turn </w:t>
      </w:r>
      <w:r w:rsidR="00F55454" w:rsidRPr="00B2274C">
        <w:t>them in</w:t>
      </w:r>
      <w:r w:rsidRPr="00B2274C">
        <w:t xml:space="preserve"> several days past the deadline, and/or be very irregular in attendance and discussion.</w:t>
      </w:r>
    </w:p>
    <w:p w14:paraId="78217DFB" w14:textId="77777777" w:rsidR="00536AD6" w:rsidRPr="00B2274C" w:rsidRDefault="00536AD6" w:rsidP="00536AD6">
      <w:pPr>
        <w:tabs>
          <w:tab w:val="left" w:pos="360"/>
        </w:tabs>
      </w:pPr>
      <w:r w:rsidRPr="00B2274C">
        <w:tab/>
        <w:t xml:space="preserve">In addition, below “C” level essays do not adequately meet the requirements of the assignment.   They typically also contain no statement of intent, or a confused one; frequently lapse into bad grammar or incorrect spelling; replace full sentences with fragments; misconstrue or distort key ideas; display no clear development leading to a supportable conclusion.  </w:t>
      </w:r>
    </w:p>
    <w:p w14:paraId="40F327B4" w14:textId="77777777" w:rsidR="00536AD6" w:rsidRPr="00B2274C" w:rsidRDefault="00536AD6" w:rsidP="00671951"/>
    <w:p w14:paraId="4B46FB75" w14:textId="01FF909B" w:rsidR="00536AD6" w:rsidRPr="00B2274C" w:rsidRDefault="00671951" w:rsidP="00536AD6">
      <w:r>
        <w:rPr>
          <w:b/>
        </w:rPr>
        <w:t>C</w:t>
      </w:r>
      <w:r w:rsidR="00536AD6" w:rsidRPr="00B2274C">
        <w:rPr>
          <w:b/>
        </w:rPr>
        <w:t>. Students with documented disabilities</w:t>
      </w:r>
      <w:r w:rsidR="00536AD6" w:rsidRPr="00B2274C">
        <w:t xml:space="preserve">:  I strive to create an inclusive classroom that respects the fact that our eyes, ears, brains and bodies all work a little bit differently.  If you have, or think you may have a learning disability, please work with the Office of Student Academic Services to determine what strategies and accommodations are appropriate for your situation, and then speak with me early on so that we may arrange appropriate accommodation.   </w:t>
      </w:r>
    </w:p>
    <w:p w14:paraId="7D2993E3" w14:textId="77777777" w:rsidR="00536AD6" w:rsidRPr="00B2274C" w:rsidRDefault="005C39BA" w:rsidP="00536AD6">
      <w:pPr>
        <w:rPr>
          <w:b/>
        </w:rPr>
      </w:pPr>
      <w:hyperlink r:id="rId9" w:history="1">
        <w:r w:rsidR="00536AD6" w:rsidRPr="00B2274C">
          <w:rPr>
            <w:rStyle w:val="Hyperlink"/>
            <w:b/>
          </w:rPr>
          <w:t>http://cmsauthor.skidmore.edu/academic_services/accessibility/</w:t>
        </w:r>
      </w:hyperlink>
    </w:p>
    <w:p w14:paraId="3F1B6A3E" w14:textId="77777777" w:rsidR="00536AD6" w:rsidRPr="00B2274C" w:rsidRDefault="00536AD6" w:rsidP="00536AD6">
      <w:pPr>
        <w:rPr>
          <w:b/>
        </w:rPr>
      </w:pPr>
    </w:p>
    <w:p w14:paraId="011AFA17" w14:textId="7913C922" w:rsidR="00536AD6" w:rsidRPr="00B2274C" w:rsidRDefault="00671951" w:rsidP="00536AD6">
      <w:r>
        <w:rPr>
          <w:b/>
        </w:rPr>
        <w:t>D</w:t>
      </w:r>
      <w:r w:rsidR="00536AD6" w:rsidRPr="00B2274C">
        <w:rPr>
          <w:b/>
        </w:rPr>
        <w:t>. Academic Honesty:</w:t>
      </w:r>
      <w:r w:rsidR="00536AD6" w:rsidRPr="00B2274C">
        <w:t xml:space="preserve"> </w:t>
      </w:r>
      <w:r w:rsidR="00536AD6" w:rsidRPr="00B2274C">
        <w:rPr>
          <w:b/>
        </w:rPr>
        <w:t xml:space="preserve"> </w:t>
      </w:r>
      <w:r w:rsidR="00536AD6" w:rsidRPr="00B2274C">
        <w:t xml:space="preserve">Making references to the work of others strengthens your own work by granting you greater authority and by showing that you are part of a discussion located within a community.  When you make references (by quotation or paraphrase) to the work of others, it is essential to provide proper attribution and citation.  Failing to do so is considered academically dishonest, as is copying or paraphrasing someone else’s work.  Please consult Appendix B for the citation format I recommend for your work in this class. </w:t>
      </w:r>
    </w:p>
    <w:p w14:paraId="02F9064C" w14:textId="35DBE874" w:rsidR="00536AD6" w:rsidRPr="00B2274C" w:rsidRDefault="00671951" w:rsidP="00671951">
      <w:pPr>
        <w:tabs>
          <w:tab w:val="left" w:pos="360"/>
        </w:tabs>
        <w:rPr>
          <w:b/>
        </w:rPr>
      </w:pPr>
      <w:r>
        <w:rPr>
          <w:b/>
        </w:rPr>
        <w:tab/>
      </w:r>
      <w:r w:rsidR="00536AD6" w:rsidRPr="00B2274C">
        <w:rPr>
          <w:b/>
        </w:rPr>
        <w:t xml:space="preserve">Any confirmed instances of plagiarism or other forms of academic dishonesty (cheating, fabrication or facilitating academic dishonesty) in this course will result in the work in question 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14:paraId="26733F18" w14:textId="77777777" w:rsidR="00536AD6" w:rsidRDefault="00536AD6" w:rsidP="00536AD6">
      <w:pPr>
        <w:rPr>
          <w:b/>
        </w:rPr>
      </w:pPr>
    </w:p>
    <w:p w14:paraId="37522027" w14:textId="77777777" w:rsidR="0050068E" w:rsidRPr="001C2FC0" w:rsidRDefault="0050068E" w:rsidP="0050068E">
      <w:r w:rsidRPr="0044615A">
        <w:rPr>
          <w:b/>
        </w:rPr>
        <w:t>E. Title IX:</w:t>
      </w:r>
      <w:r w:rsidRPr="001C2FC0">
        <w:rPr>
          <w:i/>
        </w:rPr>
        <w:t xml:space="preserve">  </w:t>
      </w:r>
      <w:r w:rsidRPr="001C2FC0">
        <w:t xml:space="preserve">Skidmore College considers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w:t>
      </w:r>
      <w:r w:rsidRPr="001C2FC0">
        <w:lastRenderedPageBreak/>
        <w:t>federal regulations.  Skidmore College faculty are committed to supporting our students and upholding gender equity laws as outlined by Title IX.  If a student chooses to confide in a member of Skidmore’s faculty or staff regarding an issue of sexual or gender-based misconduct, that faculty or staff member is obligated to tell Skidmore’s Title IX Coordinator or Title IX Deputy Coordinator.  The Title IX Coordinator or Deputy Coordinator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w:t>
      </w:r>
    </w:p>
    <w:p w14:paraId="2E484483" w14:textId="77777777" w:rsidR="00536AD6" w:rsidRPr="00B2274C" w:rsidRDefault="00536AD6" w:rsidP="00536AD6">
      <w:pPr>
        <w:jc w:val="center"/>
        <w:rPr>
          <w:b/>
        </w:rPr>
      </w:pPr>
    </w:p>
    <w:p w14:paraId="2579170B" w14:textId="0C62C68B" w:rsidR="0050068E" w:rsidRDefault="0050068E">
      <w:pPr>
        <w:rPr>
          <w:b/>
        </w:rPr>
      </w:pPr>
      <w:r>
        <w:rPr>
          <w:b/>
        </w:rPr>
        <w:br w:type="page"/>
      </w:r>
    </w:p>
    <w:p w14:paraId="2A1F93CC" w14:textId="0B072645" w:rsidR="00536AD6" w:rsidRPr="00B2274C" w:rsidRDefault="00536AD6" w:rsidP="00536AD6">
      <w:pPr>
        <w:jc w:val="center"/>
        <w:rPr>
          <w:b/>
        </w:rPr>
      </w:pPr>
      <w:r w:rsidRPr="00B2274C">
        <w:rPr>
          <w:b/>
        </w:rPr>
        <w:lastRenderedPageBreak/>
        <w:t xml:space="preserve">Schedule of Assignments and Readings </w:t>
      </w:r>
    </w:p>
    <w:p w14:paraId="1875B7B7" w14:textId="77777777" w:rsidR="00536AD6" w:rsidRPr="00B2274C" w:rsidRDefault="00536AD6" w:rsidP="00536AD6">
      <w:pPr>
        <w:jc w:val="center"/>
      </w:pPr>
      <w:r w:rsidRPr="00B2274C">
        <w:t>(subject to change as the course progresses)</w:t>
      </w:r>
    </w:p>
    <w:p w14:paraId="7715B075" w14:textId="77777777" w:rsidR="00536AD6" w:rsidRPr="00B2274C" w:rsidRDefault="00536AD6" w:rsidP="00536AD6">
      <w:pPr>
        <w:jc w:val="center"/>
        <w:rPr>
          <w:b/>
        </w:rPr>
      </w:pPr>
    </w:p>
    <w:p w14:paraId="161F7590" w14:textId="77777777" w:rsidR="00536AD6" w:rsidRPr="00B2274C" w:rsidRDefault="00536AD6" w:rsidP="00536AD6">
      <w:pPr>
        <w:jc w:val="center"/>
        <w:rPr>
          <w:b/>
          <w:i/>
        </w:rPr>
      </w:pPr>
      <w:r w:rsidRPr="00B2274C">
        <w:rPr>
          <w:b/>
          <w:i/>
        </w:rPr>
        <w:t>Readings and other assignments are due by class-time on the date assigned</w:t>
      </w:r>
    </w:p>
    <w:p w14:paraId="4FEDCEEF" w14:textId="20942E6A" w:rsidR="00536AD6" w:rsidRDefault="00536AD6" w:rsidP="00536AD6"/>
    <w:p w14:paraId="6FC566E1" w14:textId="0374CDF3" w:rsidR="00D62E88" w:rsidRPr="00D62E88" w:rsidRDefault="00D62E88" w:rsidP="00D62E88">
      <w:pPr>
        <w:jc w:val="center"/>
        <w:rPr>
          <w:b/>
          <w:sz w:val="28"/>
          <w:szCs w:val="28"/>
        </w:rPr>
      </w:pPr>
      <w:r w:rsidRPr="00D62E88">
        <w:rPr>
          <w:b/>
          <w:sz w:val="28"/>
          <w:szCs w:val="28"/>
        </w:rPr>
        <w:t xml:space="preserve">MODULE ONE: </w:t>
      </w:r>
      <w:r w:rsidR="00F24F04">
        <w:rPr>
          <w:b/>
          <w:sz w:val="28"/>
          <w:szCs w:val="28"/>
        </w:rPr>
        <w:t>VISIONS OF EDEN</w:t>
      </w:r>
    </w:p>
    <w:p w14:paraId="1A735E60" w14:textId="77777777" w:rsidR="00D62E88" w:rsidRPr="00B2274C" w:rsidRDefault="00D62E88" w:rsidP="00536AD6"/>
    <w:p w14:paraId="71287472" w14:textId="77777777" w:rsidR="00536AD6" w:rsidRPr="00B2274C" w:rsidRDefault="00536AD6" w:rsidP="00536AD6">
      <w:r w:rsidRPr="00B2274C">
        <w:rPr>
          <w:u w:val="single"/>
        </w:rPr>
        <w:t>Week One – Introduction to the Course</w:t>
      </w:r>
      <w:r w:rsidR="00BD0BAA" w:rsidRPr="00B2274C">
        <w:rPr>
          <w:u w:val="single"/>
        </w:rPr>
        <w:t xml:space="preserve"> –</w:t>
      </w:r>
      <w:r w:rsidR="0068315E" w:rsidRPr="00B2274C">
        <w:rPr>
          <w:u w:val="single"/>
        </w:rPr>
        <w:t xml:space="preserve"> W</w:t>
      </w:r>
      <w:r w:rsidR="00BD0BAA" w:rsidRPr="00B2274C">
        <w:rPr>
          <w:u w:val="single"/>
        </w:rPr>
        <w:t>hat is religion?  What is ecology</w:t>
      </w:r>
      <w:r w:rsidR="00491766">
        <w:rPr>
          <w:u w:val="single"/>
        </w:rPr>
        <w:t>?</w:t>
      </w:r>
      <w:r w:rsidRPr="00B2274C">
        <w:tab/>
      </w:r>
    </w:p>
    <w:p w14:paraId="38084083" w14:textId="7823EC77" w:rsidR="00536AD6" w:rsidRPr="00B2274C" w:rsidRDefault="00651FB1" w:rsidP="00D27C43">
      <w:pPr>
        <w:rPr>
          <w:b/>
        </w:rPr>
      </w:pPr>
      <w:r>
        <w:rPr>
          <w:b/>
        </w:rPr>
        <w:t>T 2/2</w:t>
      </w:r>
      <w:r w:rsidR="00536AD6" w:rsidRPr="00B2274C">
        <w:rPr>
          <w:b/>
        </w:rPr>
        <w:t xml:space="preserve"> </w:t>
      </w:r>
      <w:proofErr w:type="gramStart"/>
      <w:r w:rsidR="00536AD6" w:rsidRPr="00B2274C">
        <w:rPr>
          <w:b/>
        </w:rPr>
        <w:t xml:space="preserve">– </w:t>
      </w:r>
      <w:r w:rsidR="00D27C43" w:rsidRPr="00B2274C">
        <w:rPr>
          <w:b/>
        </w:rPr>
        <w:t xml:space="preserve"> Beginnings</w:t>
      </w:r>
      <w:proofErr w:type="gramEnd"/>
    </w:p>
    <w:p w14:paraId="2F9FA840" w14:textId="3762CB32" w:rsidR="00D27C43" w:rsidRDefault="00D27C43" w:rsidP="00D27C43">
      <w:r w:rsidRPr="00B2274C">
        <w:rPr>
          <w:b/>
        </w:rPr>
        <w:t xml:space="preserve">Read: </w:t>
      </w:r>
      <w:r w:rsidRPr="00B2274C">
        <w:t xml:space="preserve">Jane Goodall, “Primate Spirituality,” from </w:t>
      </w:r>
      <w:r w:rsidRPr="00B2274C">
        <w:rPr>
          <w:i/>
        </w:rPr>
        <w:t xml:space="preserve">The Encyclopedia of Religion, Nature and Culture, </w:t>
      </w:r>
      <w:r w:rsidRPr="00B2274C">
        <w:t xml:space="preserve">ed. by </w:t>
      </w:r>
      <w:proofErr w:type="spellStart"/>
      <w:r w:rsidRPr="00B2274C">
        <w:t>Bron</w:t>
      </w:r>
      <w:proofErr w:type="spellEnd"/>
      <w:r w:rsidRPr="00B2274C">
        <w:t xml:space="preserve"> Taylor, pp. 1303-1306 (emailed in advance by Prof. Kent)</w:t>
      </w:r>
    </w:p>
    <w:p w14:paraId="1B065DBE" w14:textId="77777777" w:rsidR="00536AD6" w:rsidRPr="00B2274C" w:rsidRDefault="00536AD6" w:rsidP="00536AD6"/>
    <w:p w14:paraId="5E47083B" w14:textId="7A076F77" w:rsidR="00D27C43" w:rsidRPr="00927E92" w:rsidRDefault="00651FB1" w:rsidP="00D27C43">
      <w:pPr>
        <w:tabs>
          <w:tab w:val="left" w:pos="720"/>
          <w:tab w:val="left" w:pos="7920"/>
        </w:tabs>
        <w:rPr>
          <w:b/>
        </w:rPr>
      </w:pPr>
      <w:r>
        <w:rPr>
          <w:b/>
        </w:rPr>
        <w:t>R 2/4</w:t>
      </w:r>
      <w:r w:rsidR="00BD0BAA" w:rsidRPr="00927E92">
        <w:rPr>
          <w:b/>
        </w:rPr>
        <w:t xml:space="preserve"> – </w:t>
      </w:r>
      <w:r w:rsidR="00D27C43" w:rsidRPr="00927E92">
        <w:rPr>
          <w:b/>
        </w:rPr>
        <w:t>Definitions</w:t>
      </w:r>
    </w:p>
    <w:p w14:paraId="6613A0D7" w14:textId="77777777" w:rsidR="00BD0BAA" w:rsidRPr="00B2274C" w:rsidRDefault="0068315E" w:rsidP="00D27C43">
      <w:pPr>
        <w:tabs>
          <w:tab w:val="left" w:pos="720"/>
          <w:tab w:val="left" w:pos="7920"/>
        </w:tabs>
      </w:pPr>
      <w:r w:rsidRPr="00B2274C">
        <w:rPr>
          <w:b/>
        </w:rPr>
        <w:t xml:space="preserve">Read: </w:t>
      </w:r>
      <w:proofErr w:type="spellStart"/>
      <w:r w:rsidR="00D27C43" w:rsidRPr="00B2274C">
        <w:t>Bron</w:t>
      </w:r>
      <w:proofErr w:type="spellEnd"/>
      <w:r w:rsidR="00D27C43" w:rsidRPr="00B2274C">
        <w:t xml:space="preserve"> Taylor, “Introduction,” from </w:t>
      </w:r>
      <w:r w:rsidR="00D27C43" w:rsidRPr="00B2274C">
        <w:rPr>
          <w:i/>
        </w:rPr>
        <w:t>The Encyclopedia of Religion, Nature and Culture,</w:t>
      </w:r>
      <w:r w:rsidR="00D27C43" w:rsidRPr="00B2274C">
        <w:t xml:space="preserve"> ed. by </w:t>
      </w:r>
      <w:proofErr w:type="spellStart"/>
      <w:r w:rsidR="00D27C43" w:rsidRPr="00B2274C">
        <w:t>Bron</w:t>
      </w:r>
      <w:proofErr w:type="spellEnd"/>
      <w:r w:rsidR="00D27C43" w:rsidRPr="00B2274C">
        <w:t xml:space="preserve"> Taylor, pp. ix - xxi</w:t>
      </w:r>
    </w:p>
    <w:p w14:paraId="1A0E370B" w14:textId="77777777" w:rsidR="00BD0BAA" w:rsidRPr="00B2274C" w:rsidRDefault="00BD0BAA" w:rsidP="00536AD6"/>
    <w:p w14:paraId="2E6259CB" w14:textId="77777777" w:rsidR="00536AD6" w:rsidRPr="00B2274C" w:rsidRDefault="00536AD6" w:rsidP="008379A3">
      <w:pPr>
        <w:rPr>
          <w:u w:val="single"/>
        </w:rPr>
      </w:pPr>
      <w:r w:rsidRPr="00B2274C">
        <w:rPr>
          <w:u w:val="single"/>
        </w:rPr>
        <w:t xml:space="preserve">Week Two – </w:t>
      </w:r>
      <w:r w:rsidR="0068315E" w:rsidRPr="00B2274C">
        <w:rPr>
          <w:u w:val="single"/>
        </w:rPr>
        <w:t xml:space="preserve">The Biblical Story of Creation </w:t>
      </w:r>
      <w:r w:rsidRPr="00B2274C">
        <w:rPr>
          <w:u w:val="single"/>
        </w:rPr>
        <w:t xml:space="preserve"> </w:t>
      </w:r>
    </w:p>
    <w:p w14:paraId="0E1B8E73" w14:textId="0A4C13AE" w:rsidR="00D27C43" w:rsidRPr="00B2274C" w:rsidRDefault="00651FB1" w:rsidP="00D27C43">
      <w:pPr>
        <w:tabs>
          <w:tab w:val="left" w:pos="720"/>
          <w:tab w:val="left" w:pos="7920"/>
        </w:tabs>
        <w:rPr>
          <w:b/>
        </w:rPr>
      </w:pPr>
      <w:r>
        <w:rPr>
          <w:b/>
        </w:rPr>
        <w:t>T 2/9</w:t>
      </w:r>
      <w:r w:rsidR="00D27C43" w:rsidRPr="00B2274C">
        <w:rPr>
          <w:b/>
        </w:rPr>
        <w:t xml:space="preserve"> </w:t>
      </w:r>
      <w:r w:rsidR="00B373BB">
        <w:rPr>
          <w:b/>
        </w:rPr>
        <w:t xml:space="preserve">- </w:t>
      </w:r>
      <w:r w:rsidR="00D27C43" w:rsidRPr="00B2274C">
        <w:rPr>
          <w:b/>
        </w:rPr>
        <w:t>Genesis</w:t>
      </w:r>
    </w:p>
    <w:p w14:paraId="5234931D" w14:textId="2B7C594E" w:rsidR="00416C1F" w:rsidRDefault="00D27C43" w:rsidP="00BD0BAA">
      <w:pPr>
        <w:tabs>
          <w:tab w:val="left" w:pos="720"/>
          <w:tab w:val="left" w:pos="7920"/>
        </w:tabs>
      </w:pPr>
      <w:r w:rsidRPr="00B2274C">
        <w:rPr>
          <w:b/>
        </w:rPr>
        <w:t>Read:</w:t>
      </w:r>
      <w:r w:rsidRPr="00B2274C">
        <w:t xml:space="preserve"> The Holy Bible, Gen. 1-3 in two translations </w:t>
      </w:r>
      <w:r w:rsidR="00D442E2">
        <w:t>(short, but read carefully!)</w:t>
      </w:r>
    </w:p>
    <w:p w14:paraId="08D3AFAF" w14:textId="77777777" w:rsidR="00BD0BAA" w:rsidRPr="00B2274C" w:rsidRDefault="00BD0BAA" w:rsidP="00BD0BAA">
      <w:pPr>
        <w:tabs>
          <w:tab w:val="left" w:pos="720"/>
          <w:tab w:val="left" w:pos="7920"/>
        </w:tabs>
        <w:rPr>
          <w:b/>
        </w:rPr>
      </w:pPr>
    </w:p>
    <w:p w14:paraId="3C079362" w14:textId="2E191344" w:rsidR="00002D82" w:rsidRPr="00B2274C" w:rsidRDefault="00651FB1" w:rsidP="00002D82">
      <w:pPr>
        <w:tabs>
          <w:tab w:val="left" w:pos="720"/>
          <w:tab w:val="left" w:pos="7920"/>
        </w:tabs>
        <w:rPr>
          <w:b/>
        </w:rPr>
      </w:pPr>
      <w:r>
        <w:rPr>
          <w:b/>
        </w:rPr>
        <w:t>R 2/11 -</w:t>
      </w:r>
      <w:r w:rsidR="00BD0BAA" w:rsidRPr="00B2274C">
        <w:rPr>
          <w:b/>
        </w:rPr>
        <w:t xml:space="preserve"> </w:t>
      </w:r>
      <w:r w:rsidR="00002D82" w:rsidRPr="00B2274C">
        <w:rPr>
          <w:b/>
        </w:rPr>
        <w:t>The [Christian] Roots of Our Ecological Crisis</w:t>
      </w:r>
    </w:p>
    <w:p w14:paraId="09ADE308" w14:textId="4802F141" w:rsidR="008379A3" w:rsidRPr="00B2274C" w:rsidRDefault="00002D82" w:rsidP="00002D82">
      <w:pPr>
        <w:tabs>
          <w:tab w:val="left" w:pos="720"/>
          <w:tab w:val="left" w:pos="7920"/>
        </w:tabs>
      </w:pPr>
      <w:r w:rsidRPr="00B2274C">
        <w:rPr>
          <w:b/>
        </w:rPr>
        <w:t>Read:</w:t>
      </w:r>
      <w:r w:rsidRPr="00B2274C">
        <w:t xml:space="preserve"> Lynn White Jr., “The Historical Roots of Our Ecologic Crisis” (1967) in </w:t>
      </w:r>
      <w:r w:rsidR="00231F7A" w:rsidRPr="00B2274C">
        <w:rPr>
          <w:i/>
        </w:rPr>
        <w:t>Science ns</w:t>
      </w:r>
      <w:r w:rsidRPr="00B2274C">
        <w:t>, pp. 30-37.</w:t>
      </w:r>
    </w:p>
    <w:p w14:paraId="6EEB67DF" w14:textId="77777777" w:rsidR="00536AD6" w:rsidRPr="00B2274C" w:rsidRDefault="00536AD6" w:rsidP="00536AD6">
      <w:pPr>
        <w:tabs>
          <w:tab w:val="left" w:pos="720"/>
          <w:tab w:val="left" w:pos="7920"/>
        </w:tabs>
      </w:pPr>
    </w:p>
    <w:p w14:paraId="57FCB82B" w14:textId="77777777" w:rsidR="00536AD6" w:rsidRPr="00B2274C" w:rsidRDefault="00536AD6" w:rsidP="00536AD6">
      <w:r w:rsidRPr="00B2274C">
        <w:rPr>
          <w:u w:val="single"/>
        </w:rPr>
        <w:t>Week Three – Changing Interpretations of the Creation Story</w:t>
      </w:r>
    </w:p>
    <w:p w14:paraId="153221AA" w14:textId="34B59183" w:rsidR="00D347E3" w:rsidRPr="00B2274C" w:rsidRDefault="00651FB1" w:rsidP="00002D82">
      <w:pPr>
        <w:tabs>
          <w:tab w:val="left" w:pos="720"/>
          <w:tab w:val="left" w:pos="7920"/>
        </w:tabs>
        <w:rPr>
          <w:b/>
        </w:rPr>
      </w:pPr>
      <w:r>
        <w:rPr>
          <w:b/>
        </w:rPr>
        <w:t>T 2/16</w:t>
      </w:r>
      <w:r w:rsidR="00B31D68" w:rsidRPr="00B2274C">
        <w:rPr>
          <w:b/>
        </w:rPr>
        <w:t xml:space="preserve"> – </w:t>
      </w:r>
      <w:r w:rsidR="00D347E3" w:rsidRPr="00B2274C">
        <w:rPr>
          <w:b/>
        </w:rPr>
        <w:t>The Christian Roots of Environmentalism</w:t>
      </w:r>
    </w:p>
    <w:p w14:paraId="3F423AA5" w14:textId="052EC5BD" w:rsidR="00D347E3" w:rsidRPr="00B2274C" w:rsidRDefault="00D347E3" w:rsidP="00002D82">
      <w:pPr>
        <w:tabs>
          <w:tab w:val="left" w:pos="720"/>
          <w:tab w:val="left" w:pos="7920"/>
        </w:tabs>
      </w:pPr>
      <w:r w:rsidRPr="00B2274C">
        <w:rPr>
          <w:b/>
        </w:rPr>
        <w:t>Read:</w:t>
      </w:r>
      <w:r w:rsidRPr="00B2274C">
        <w:t xml:space="preserve"> Evan Berry, </w:t>
      </w:r>
      <w:r w:rsidRPr="00B2274C">
        <w:rPr>
          <w:i/>
        </w:rPr>
        <w:t>Devoted to Nature: The Christian Roots of American Environmentalism</w:t>
      </w:r>
      <w:r w:rsidRPr="00B2274C">
        <w:t xml:space="preserve"> (2017), pp. 25-38 </w:t>
      </w:r>
    </w:p>
    <w:p w14:paraId="6AD09525" w14:textId="333B5BB6" w:rsidR="00B31D68" w:rsidRPr="00B2274C" w:rsidRDefault="00D347E3" w:rsidP="00002D82">
      <w:pPr>
        <w:tabs>
          <w:tab w:val="left" w:pos="720"/>
          <w:tab w:val="left" w:pos="7920"/>
        </w:tabs>
      </w:pPr>
      <w:r w:rsidRPr="00B2274C">
        <w:rPr>
          <w:b/>
        </w:rPr>
        <w:t xml:space="preserve">Read: </w:t>
      </w:r>
      <w:r w:rsidR="000964A5" w:rsidRPr="00B2274C">
        <w:t xml:space="preserve">Henry </w:t>
      </w:r>
      <w:r w:rsidR="00F55454" w:rsidRPr="00B2274C">
        <w:t>David Thoreau’s essay “Walking</w:t>
      </w:r>
      <w:r w:rsidRPr="00B2274C">
        <w:t xml:space="preserve">” </w:t>
      </w:r>
      <w:r w:rsidR="00F55454" w:rsidRPr="00B2274C">
        <w:t xml:space="preserve">(selections), originally published in </w:t>
      </w:r>
      <w:r w:rsidR="00F55454" w:rsidRPr="00B2274C">
        <w:rPr>
          <w:i/>
        </w:rPr>
        <w:t xml:space="preserve">The Atlantic Magazine </w:t>
      </w:r>
      <w:r w:rsidR="00F55454" w:rsidRPr="00B2274C">
        <w:t>(June 1862)</w:t>
      </w:r>
    </w:p>
    <w:p w14:paraId="5EF69809" w14:textId="77777777" w:rsidR="00BD0BAA" w:rsidRPr="00B2274C" w:rsidRDefault="00BD0BAA" w:rsidP="00536AD6">
      <w:pPr>
        <w:rPr>
          <w:b/>
        </w:rPr>
      </w:pPr>
    </w:p>
    <w:p w14:paraId="35338B2E" w14:textId="349C316C" w:rsidR="0068315E" w:rsidRPr="00B2274C" w:rsidRDefault="00651FB1" w:rsidP="0068315E">
      <w:pPr>
        <w:rPr>
          <w:b/>
        </w:rPr>
      </w:pPr>
      <w:r>
        <w:rPr>
          <w:b/>
        </w:rPr>
        <w:t>R 2/18</w:t>
      </w:r>
      <w:r w:rsidR="00BD0BAA" w:rsidRPr="00B2274C">
        <w:rPr>
          <w:b/>
        </w:rPr>
        <w:t xml:space="preserve"> </w:t>
      </w:r>
      <w:r w:rsidR="00D347E3" w:rsidRPr="00B2274C">
        <w:rPr>
          <w:b/>
        </w:rPr>
        <w:t>– The Christian Roots of Environmentalism</w:t>
      </w:r>
    </w:p>
    <w:p w14:paraId="156F2B7F" w14:textId="1C151CDA" w:rsidR="0068315E" w:rsidRPr="00B2274C" w:rsidRDefault="0068315E" w:rsidP="0068315E">
      <w:pPr>
        <w:jc w:val="both"/>
      </w:pPr>
      <w:r w:rsidRPr="00B2274C">
        <w:rPr>
          <w:b/>
        </w:rPr>
        <w:t xml:space="preserve">Read: </w:t>
      </w:r>
      <w:r w:rsidRPr="00B2274C">
        <w:t xml:space="preserve">John Muir, </w:t>
      </w:r>
      <w:r w:rsidRPr="00B2274C">
        <w:rPr>
          <w:i/>
        </w:rPr>
        <w:t>My First Summer in the Sierras</w:t>
      </w:r>
      <w:r w:rsidRPr="00B2274C">
        <w:t xml:space="preserve">, selections </w:t>
      </w:r>
    </w:p>
    <w:p w14:paraId="64E45B0F" w14:textId="6D0A297C" w:rsidR="00536AD6" w:rsidRDefault="00536AD6" w:rsidP="00536AD6"/>
    <w:p w14:paraId="39E666C5" w14:textId="0B088959" w:rsidR="00D62E88" w:rsidRPr="00D62E88" w:rsidRDefault="00D62E88" w:rsidP="00D62E88">
      <w:pPr>
        <w:jc w:val="center"/>
        <w:rPr>
          <w:b/>
          <w:sz w:val="28"/>
          <w:szCs w:val="28"/>
        </w:rPr>
      </w:pPr>
      <w:r w:rsidRPr="00D62E88">
        <w:rPr>
          <w:b/>
          <w:sz w:val="28"/>
          <w:szCs w:val="28"/>
        </w:rPr>
        <w:t>MODULE TWO</w:t>
      </w:r>
      <w:r>
        <w:rPr>
          <w:b/>
          <w:sz w:val="28"/>
          <w:szCs w:val="28"/>
        </w:rPr>
        <w:t>:</w:t>
      </w:r>
      <w:r w:rsidRPr="00D62E88">
        <w:rPr>
          <w:b/>
          <w:sz w:val="28"/>
          <w:szCs w:val="28"/>
        </w:rPr>
        <w:t xml:space="preserve"> GREENING CATHOLICISM</w:t>
      </w:r>
    </w:p>
    <w:p w14:paraId="1C19F02A" w14:textId="77777777" w:rsidR="00D62E88" w:rsidRPr="00D62E88" w:rsidRDefault="00D62E88" w:rsidP="00D62E88">
      <w:pPr>
        <w:jc w:val="center"/>
        <w:rPr>
          <w:sz w:val="28"/>
          <w:szCs w:val="28"/>
        </w:rPr>
      </w:pPr>
    </w:p>
    <w:p w14:paraId="549E89E2" w14:textId="2A1F401E" w:rsidR="000C4EE2" w:rsidRPr="00D62E88" w:rsidRDefault="00536AD6" w:rsidP="00536AD6">
      <w:pPr>
        <w:rPr>
          <w:u w:val="single"/>
        </w:rPr>
      </w:pPr>
      <w:r w:rsidRPr="00B2274C">
        <w:rPr>
          <w:u w:val="single"/>
        </w:rPr>
        <w:t xml:space="preserve">Week Four – </w:t>
      </w:r>
      <w:r w:rsidR="0047495D">
        <w:rPr>
          <w:u w:val="single"/>
        </w:rPr>
        <w:t>Greening Catholicism</w:t>
      </w:r>
    </w:p>
    <w:p w14:paraId="51F8207C" w14:textId="77777777" w:rsidR="0047495D" w:rsidRPr="00B2274C" w:rsidRDefault="00651FB1" w:rsidP="0047495D">
      <w:r>
        <w:rPr>
          <w:b/>
        </w:rPr>
        <w:t>T 2/23</w:t>
      </w:r>
      <w:r w:rsidR="00BD0BAA" w:rsidRPr="00B2274C">
        <w:rPr>
          <w:b/>
        </w:rPr>
        <w:t xml:space="preserve"> </w:t>
      </w:r>
      <w:r w:rsidR="0068315E" w:rsidRPr="00B2274C">
        <w:rPr>
          <w:b/>
        </w:rPr>
        <w:t xml:space="preserve">– </w:t>
      </w:r>
      <w:r w:rsidR="0047495D" w:rsidRPr="00B2274C">
        <w:rPr>
          <w:b/>
        </w:rPr>
        <w:t>Greening Traditions 1: Roman Catholicism</w:t>
      </w:r>
    </w:p>
    <w:p w14:paraId="37031568" w14:textId="77777777" w:rsidR="0047495D" w:rsidRPr="00B2274C" w:rsidRDefault="0047495D" w:rsidP="0047495D">
      <w:pPr>
        <w:rPr>
          <w:b/>
        </w:rPr>
      </w:pPr>
      <w:r w:rsidRPr="00B2274C">
        <w:rPr>
          <w:b/>
        </w:rPr>
        <w:t xml:space="preserve">Read: </w:t>
      </w:r>
      <w:r w:rsidRPr="00B2274C">
        <w:t xml:space="preserve">Pope Francis, preface, </w:t>
      </w:r>
      <w:proofErr w:type="spellStart"/>
      <w:r w:rsidRPr="00B2274C">
        <w:rPr>
          <w:i/>
        </w:rPr>
        <w:t>Laudato</w:t>
      </w:r>
      <w:proofErr w:type="spellEnd"/>
      <w:r w:rsidRPr="00B2274C">
        <w:rPr>
          <w:i/>
        </w:rPr>
        <w:t xml:space="preserve"> Si: On Care for Our Common Home,</w:t>
      </w:r>
      <w:r w:rsidRPr="00B2274C">
        <w:t xml:space="preserve"> encyclical letter (2015), 7-16 and Chapter 1 </w:t>
      </w:r>
    </w:p>
    <w:p w14:paraId="003C7ACC" w14:textId="77777777" w:rsidR="00457E4F" w:rsidRPr="00457E4F" w:rsidRDefault="00457E4F" w:rsidP="00457E4F">
      <w:pPr>
        <w:tabs>
          <w:tab w:val="left" w:pos="720"/>
          <w:tab w:val="left" w:pos="7920"/>
        </w:tabs>
      </w:pPr>
    </w:p>
    <w:p w14:paraId="7B3439D9" w14:textId="56F84B09" w:rsidR="0047495D" w:rsidRPr="00B2274C" w:rsidRDefault="00D62E88" w:rsidP="0047495D">
      <w:pPr>
        <w:tabs>
          <w:tab w:val="left" w:pos="720"/>
          <w:tab w:val="left" w:pos="7920"/>
        </w:tabs>
        <w:rPr>
          <w:b/>
        </w:rPr>
      </w:pPr>
      <w:r>
        <w:rPr>
          <w:b/>
        </w:rPr>
        <w:t>R</w:t>
      </w:r>
      <w:r w:rsidR="00BD0BAA" w:rsidRPr="00B2274C">
        <w:rPr>
          <w:b/>
        </w:rPr>
        <w:t xml:space="preserve"> </w:t>
      </w:r>
      <w:r w:rsidR="00651FB1">
        <w:rPr>
          <w:b/>
        </w:rPr>
        <w:t>2/25</w:t>
      </w:r>
      <w:r w:rsidR="0047495D">
        <w:rPr>
          <w:b/>
        </w:rPr>
        <w:t xml:space="preserve"> </w:t>
      </w:r>
      <w:r w:rsidR="0068315E" w:rsidRPr="00B2274C">
        <w:rPr>
          <w:b/>
        </w:rPr>
        <w:t xml:space="preserve">- </w:t>
      </w:r>
      <w:r w:rsidR="0047495D" w:rsidRPr="00B2274C">
        <w:rPr>
          <w:b/>
        </w:rPr>
        <w:t xml:space="preserve">On Care for Our Common Home </w:t>
      </w:r>
    </w:p>
    <w:p w14:paraId="1D9C3757" w14:textId="77777777" w:rsidR="0047495D" w:rsidRPr="00B2274C" w:rsidRDefault="0047495D" w:rsidP="0047495D">
      <w:r w:rsidRPr="00B2274C">
        <w:rPr>
          <w:b/>
        </w:rPr>
        <w:t>Read:</w:t>
      </w:r>
      <w:r w:rsidRPr="00B2274C">
        <w:t xml:space="preserve"> Francis, Chapters 2 and 3 (especially 2), </w:t>
      </w:r>
      <w:proofErr w:type="spellStart"/>
      <w:r w:rsidRPr="00B2274C">
        <w:rPr>
          <w:i/>
        </w:rPr>
        <w:t>Laudato</w:t>
      </w:r>
      <w:proofErr w:type="spellEnd"/>
      <w:r w:rsidRPr="00B2274C">
        <w:rPr>
          <w:i/>
        </w:rPr>
        <w:t xml:space="preserve"> Si</w:t>
      </w:r>
    </w:p>
    <w:p w14:paraId="0D03C1AD" w14:textId="2F6C9539" w:rsidR="0047495D" w:rsidRPr="00B2274C" w:rsidRDefault="0047495D" w:rsidP="0047495D">
      <w:pPr>
        <w:rPr>
          <w:b/>
        </w:rPr>
      </w:pPr>
      <w:r w:rsidRPr="00B2274C">
        <w:rPr>
          <w:b/>
        </w:rPr>
        <w:t>Read</w:t>
      </w:r>
      <w:r w:rsidRPr="00B2274C">
        <w:t xml:space="preserve">: The Holy Bible, Gen. 5-11, the story of Noah and the Flood </w:t>
      </w:r>
    </w:p>
    <w:p w14:paraId="7DE72AF1" w14:textId="0BEB95F8" w:rsidR="000C4EE2" w:rsidRDefault="000C4EE2" w:rsidP="0047495D">
      <w:pPr>
        <w:pStyle w:val="Footer"/>
        <w:tabs>
          <w:tab w:val="clear" w:pos="4320"/>
          <w:tab w:val="clear" w:pos="8640"/>
        </w:tabs>
      </w:pPr>
    </w:p>
    <w:p w14:paraId="67E5011D" w14:textId="4A4C9CAF" w:rsidR="00D62E88" w:rsidRDefault="00D62E88" w:rsidP="0047495D">
      <w:pPr>
        <w:pStyle w:val="Footer"/>
        <w:tabs>
          <w:tab w:val="clear" w:pos="4320"/>
          <w:tab w:val="clear" w:pos="8640"/>
        </w:tabs>
      </w:pPr>
    </w:p>
    <w:p w14:paraId="7823CDCC" w14:textId="77777777" w:rsidR="00424E48" w:rsidRPr="00B2274C" w:rsidRDefault="00424E48" w:rsidP="0047495D">
      <w:pPr>
        <w:pStyle w:val="Footer"/>
        <w:tabs>
          <w:tab w:val="clear" w:pos="4320"/>
          <w:tab w:val="clear" w:pos="8640"/>
        </w:tabs>
      </w:pPr>
    </w:p>
    <w:p w14:paraId="286763A7" w14:textId="51C8EBC8" w:rsidR="00536AD6" w:rsidRPr="00B2274C" w:rsidRDefault="00536AD6" w:rsidP="00536AD6">
      <w:pPr>
        <w:rPr>
          <w:u w:val="single"/>
        </w:rPr>
      </w:pPr>
      <w:r w:rsidRPr="00B2274C">
        <w:rPr>
          <w:u w:val="single"/>
        </w:rPr>
        <w:lastRenderedPageBreak/>
        <w:t xml:space="preserve">Week Five </w:t>
      </w:r>
      <w:proofErr w:type="gramStart"/>
      <w:r w:rsidRPr="00B2274C">
        <w:rPr>
          <w:u w:val="single"/>
        </w:rPr>
        <w:t xml:space="preserve">–  </w:t>
      </w:r>
      <w:r w:rsidR="0047495D">
        <w:rPr>
          <w:u w:val="single"/>
        </w:rPr>
        <w:t>Greening</w:t>
      </w:r>
      <w:proofErr w:type="gramEnd"/>
      <w:r w:rsidR="0047495D">
        <w:rPr>
          <w:u w:val="single"/>
        </w:rPr>
        <w:t xml:space="preserve"> Catholicism</w:t>
      </w:r>
    </w:p>
    <w:p w14:paraId="122DFE5C" w14:textId="230721C4" w:rsidR="00CB3AD8" w:rsidRPr="00D62E88" w:rsidRDefault="0099722E" w:rsidP="00536AD6">
      <w:pPr>
        <w:rPr>
          <w:i/>
        </w:rPr>
      </w:pPr>
      <w:r w:rsidRPr="00424E48">
        <w:rPr>
          <w:b/>
          <w:highlight w:val="yellow"/>
        </w:rPr>
        <w:t xml:space="preserve">M 3/1 </w:t>
      </w:r>
      <w:r w:rsidR="00CB3AD8" w:rsidRPr="00424E48">
        <w:rPr>
          <w:b/>
          <w:highlight w:val="yellow"/>
        </w:rPr>
        <w:t>–</w:t>
      </w:r>
      <w:r w:rsidRPr="00424E48">
        <w:rPr>
          <w:b/>
          <w:highlight w:val="yellow"/>
        </w:rPr>
        <w:t xml:space="preserve"> DUE </w:t>
      </w:r>
      <w:r w:rsidR="00D62E88" w:rsidRPr="00424E48">
        <w:rPr>
          <w:b/>
          <w:highlight w:val="yellow"/>
        </w:rPr>
        <w:t xml:space="preserve">First module synthesis paper due in </w:t>
      </w:r>
      <w:proofErr w:type="spellStart"/>
      <w:r w:rsidR="00D62E88" w:rsidRPr="00424E48">
        <w:rPr>
          <w:b/>
          <w:highlight w:val="yellow"/>
        </w:rPr>
        <w:t>theSpring</w:t>
      </w:r>
      <w:proofErr w:type="spellEnd"/>
      <w:r w:rsidR="00D62E88" w:rsidRPr="00424E48">
        <w:rPr>
          <w:b/>
          <w:highlight w:val="yellow"/>
        </w:rPr>
        <w:t xml:space="preserve"> </w:t>
      </w:r>
      <w:proofErr w:type="spellStart"/>
      <w:r w:rsidR="00D62E88" w:rsidRPr="00424E48">
        <w:rPr>
          <w:b/>
          <w:highlight w:val="yellow"/>
        </w:rPr>
        <w:t>dropbox</w:t>
      </w:r>
      <w:proofErr w:type="spellEnd"/>
      <w:r w:rsidR="00D62E88" w:rsidRPr="00424E48">
        <w:rPr>
          <w:b/>
          <w:highlight w:val="yellow"/>
        </w:rPr>
        <w:t xml:space="preserve"> – </w:t>
      </w:r>
      <w:r w:rsidR="00D62E88" w:rsidRPr="00424E48">
        <w:rPr>
          <w:i/>
          <w:highlight w:val="yellow"/>
        </w:rPr>
        <w:t>Is Lynn White correct, are Christian ideas, as developed by Christian thinkers, responsible for the ecological crisis?  Or, might those same Christian ideas, or other ones, provide a redemptive solution to the ecological crisis?</w:t>
      </w:r>
      <w:r w:rsidR="00D62E88" w:rsidRPr="00B2274C">
        <w:rPr>
          <w:i/>
        </w:rPr>
        <w:t xml:space="preserve">  </w:t>
      </w:r>
    </w:p>
    <w:p w14:paraId="38506099" w14:textId="77777777" w:rsidR="00CB3AD8" w:rsidRPr="00B2274C" w:rsidRDefault="00CB3AD8" w:rsidP="00536AD6"/>
    <w:p w14:paraId="0063384A" w14:textId="77777777" w:rsidR="0047495D" w:rsidRPr="00B2274C" w:rsidRDefault="00651FB1" w:rsidP="0047495D">
      <w:pPr>
        <w:pStyle w:val="Footer"/>
        <w:tabs>
          <w:tab w:val="clear" w:pos="4320"/>
          <w:tab w:val="clear" w:pos="8640"/>
        </w:tabs>
        <w:rPr>
          <w:rFonts w:ascii="Times New Roman" w:hAnsi="Times New Roman"/>
          <w:b/>
          <w:szCs w:val="24"/>
        </w:rPr>
      </w:pPr>
      <w:r>
        <w:rPr>
          <w:b/>
        </w:rPr>
        <w:t>T 3/2</w:t>
      </w:r>
      <w:r w:rsidR="00B82679" w:rsidRPr="00B2274C">
        <w:rPr>
          <w:b/>
        </w:rPr>
        <w:t xml:space="preserve"> –</w:t>
      </w:r>
      <w:r w:rsidR="0068315E" w:rsidRPr="00B2274C">
        <w:rPr>
          <w:b/>
        </w:rPr>
        <w:t xml:space="preserve"> </w:t>
      </w:r>
      <w:r w:rsidR="0047495D" w:rsidRPr="00B2274C">
        <w:rPr>
          <w:rFonts w:ascii="Times New Roman" w:hAnsi="Times New Roman"/>
          <w:b/>
          <w:szCs w:val="24"/>
        </w:rPr>
        <w:t>On Care for Our Common Home</w:t>
      </w:r>
    </w:p>
    <w:p w14:paraId="797327C0" w14:textId="77777777" w:rsidR="0047495D" w:rsidRPr="00B2274C" w:rsidRDefault="0047495D" w:rsidP="0047495D">
      <w:pPr>
        <w:rPr>
          <w:b/>
        </w:rPr>
      </w:pPr>
      <w:r w:rsidRPr="00B2274C">
        <w:rPr>
          <w:b/>
        </w:rPr>
        <w:t>Read:</w:t>
      </w:r>
      <w:r w:rsidRPr="00B2274C">
        <w:t xml:space="preserve"> Francis, Chapters 4 and 6 (especially 6), </w:t>
      </w:r>
      <w:proofErr w:type="spellStart"/>
      <w:r w:rsidRPr="00B2274C">
        <w:rPr>
          <w:i/>
        </w:rPr>
        <w:t>Laudato</w:t>
      </w:r>
      <w:proofErr w:type="spellEnd"/>
      <w:r w:rsidRPr="00B2274C">
        <w:rPr>
          <w:i/>
        </w:rPr>
        <w:t xml:space="preserve"> Si</w:t>
      </w:r>
    </w:p>
    <w:p w14:paraId="23A6FD9C" w14:textId="600A2611" w:rsidR="00CB3AD8" w:rsidRPr="00B2274C" w:rsidRDefault="00CB3AD8" w:rsidP="0047495D">
      <w:pPr>
        <w:rPr>
          <w:b/>
        </w:rPr>
      </w:pPr>
    </w:p>
    <w:p w14:paraId="029AAB3D" w14:textId="77777777" w:rsidR="007D3A10" w:rsidRDefault="00651FB1" w:rsidP="007D3A10">
      <w:pPr>
        <w:tabs>
          <w:tab w:val="left" w:pos="720"/>
          <w:tab w:val="left" w:pos="7920"/>
        </w:tabs>
        <w:rPr>
          <w:b/>
        </w:rPr>
      </w:pPr>
      <w:r>
        <w:rPr>
          <w:b/>
        </w:rPr>
        <w:t>R 3/4</w:t>
      </w:r>
      <w:r w:rsidR="00CB3AD8" w:rsidRPr="00B2274C">
        <w:rPr>
          <w:b/>
        </w:rPr>
        <w:t xml:space="preserve"> </w:t>
      </w:r>
      <w:r w:rsidR="0047495D">
        <w:rPr>
          <w:b/>
        </w:rPr>
        <w:t>–</w:t>
      </w:r>
      <w:r>
        <w:rPr>
          <w:b/>
        </w:rPr>
        <w:t xml:space="preserve"> </w:t>
      </w:r>
      <w:r w:rsidR="007D3A10">
        <w:rPr>
          <w:b/>
        </w:rPr>
        <w:t>Hindu Cosmology and Ecology – Introduction</w:t>
      </w:r>
    </w:p>
    <w:p w14:paraId="02A80088" w14:textId="77777777" w:rsidR="007D3A10" w:rsidRDefault="007D3A10" w:rsidP="007D3A10">
      <w:pPr>
        <w:tabs>
          <w:tab w:val="left" w:pos="720"/>
          <w:tab w:val="left" w:pos="7920"/>
        </w:tabs>
      </w:pPr>
      <w:r>
        <w:rPr>
          <w:b/>
        </w:rPr>
        <w:t xml:space="preserve">Read: </w:t>
      </w:r>
      <w:r>
        <w:t>Creation myths packet</w:t>
      </w:r>
    </w:p>
    <w:p w14:paraId="02290BD2" w14:textId="77777777" w:rsidR="007D3A10" w:rsidRPr="0047495D" w:rsidRDefault="007D3A10" w:rsidP="007D3A10">
      <w:pPr>
        <w:tabs>
          <w:tab w:val="left" w:pos="720"/>
          <w:tab w:val="left" w:pos="7920"/>
        </w:tabs>
      </w:pPr>
      <w:r w:rsidRPr="00E67016">
        <w:rPr>
          <w:b/>
        </w:rPr>
        <w:t>Read:</w:t>
      </w:r>
      <w:r>
        <w:t xml:space="preserve"> Eliza Kent, “Hinduism and Environmentalism in Modern India,” first part </w:t>
      </w:r>
    </w:p>
    <w:p w14:paraId="599A4967" w14:textId="5C7ABDE8" w:rsidR="00B82679" w:rsidRDefault="00B82679" w:rsidP="00536AD6"/>
    <w:p w14:paraId="6BD44C70" w14:textId="04B62F85" w:rsidR="00D442E2" w:rsidRDefault="00D442E2" w:rsidP="00536AD6">
      <w:r w:rsidRPr="00D62E88">
        <w:rPr>
          <w:b/>
        </w:rPr>
        <w:t>Due</w:t>
      </w:r>
      <w:r w:rsidR="00D62E88" w:rsidRPr="00D62E88">
        <w:rPr>
          <w:b/>
        </w:rPr>
        <w:t xml:space="preserve"> by March 5th</w:t>
      </w:r>
      <w:r w:rsidRPr="00D62E88">
        <w:rPr>
          <w:b/>
        </w:rPr>
        <w:t>:</w:t>
      </w:r>
      <w:r>
        <w:t xml:space="preserve"> </w:t>
      </w:r>
      <w:r w:rsidR="00D62E88">
        <w:t xml:space="preserve">Finish all 26 questions of the library’s annual online research-a-thon and send me a screenshot of your final score to a) get full credit for this assignment, and b) be entered into the raffle for a whole bunch of awesome gift cards. </w:t>
      </w:r>
    </w:p>
    <w:p w14:paraId="11846E9D" w14:textId="77777777" w:rsidR="00D62E88" w:rsidRPr="00D62E88" w:rsidRDefault="00D62E88" w:rsidP="00D62E88">
      <w:pPr>
        <w:rPr>
          <w:color w:val="000000"/>
        </w:rPr>
      </w:pPr>
      <w:r w:rsidRPr="00D62E88">
        <w:rPr>
          <w:color w:val="000000"/>
        </w:rPr>
        <w:t>For more information see</w:t>
      </w:r>
      <w:r w:rsidRPr="00D62E88">
        <w:rPr>
          <w:rStyle w:val="apple-converted-space"/>
          <w:color w:val="000000"/>
        </w:rPr>
        <w:t> </w:t>
      </w:r>
      <w:hyperlink r:id="rId10" w:tooltip="https://libguides.skidmore.edu/researchathon" w:history="1">
        <w:r w:rsidRPr="00D62E88">
          <w:rPr>
            <w:rStyle w:val="Hyperlink"/>
          </w:rPr>
          <w:t>https://libguides.skidmore.edu/researchathon</w:t>
        </w:r>
      </w:hyperlink>
    </w:p>
    <w:p w14:paraId="5C49AD26" w14:textId="77777777" w:rsidR="00D62E88" w:rsidRDefault="00D62E88" w:rsidP="00536AD6"/>
    <w:p w14:paraId="72D38670" w14:textId="5F00EB58" w:rsidR="00D62E88" w:rsidRPr="00D62E88" w:rsidRDefault="00D62E88" w:rsidP="00D62E88">
      <w:pPr>
        <w:jc w:val="center"/>
        <w:rPr>
          <w:b/>
          <w:sz w:val="28"/>
          <w:szCs w:val="28"/>
        </w:rPr>
      </w:pPr>
      <w:r w:rsidRPr="00D62E88">
        <w:rPr>
          <w:b/>
          <w:sz w:val="28"/>
          <w:szCs w:val="28"/>
        </w:rPr>
        <w:t>MODULE THREE: GREENING HINDUISM</w:t>
      </w:r>
    </w:p>
    <w:p w14:paraId="41517C70" w14:textId="77777777" w:rsidR="00D62E88" w:rsidRPr="00B2274C" w:rsidRDefault="00D62E88" w:rsidP="00D62E88">
      <w:pPr>
        <w:jc w:val="center"/>
      </w:pPr>
    </w:p>
    <w:p w14:paraId="0EFEE6C3" w14:textId="19D1CC65" w:rsidR="00BD0BAA" w:rsidRPr="00B2274C" w:rsidRDefault="00536AD6" w:rsidP="00536AD6">
      <w:pPr>
        <w:rPr>
          <w:u w:val="single"/>
        </w:rPr>
      </w:pPr>
      <w:r w:rsidRPr="00B2274C">
        <w:rPr>
          <w:u w:val="single"/>
        </w:rPr>
        <w:t xml:space="preserve">Week Six – </w:t>
      </w:r>
      <w:r w:rsidR="0047495D" w:rsidRPr="00B2274C">
        <w:rPr>
          <w:u w:val="single"/>
        </w:rPr>
        <w:t xml:space="preserve">Greening Religion 2: Hinduism  </w:t>
      </w:r>
    </w:p>
    <w:p w14:paraId="3541B3C5" w14:textId="77777777" w:rsidR="007D3A10" w:rsidRDefault="00651FB1" w:rsidP="007D3A10">
      <w:pPr>
        <w:pStyle w:val="Footer"/>
        <w:tabs>
          <w:tab w:val="clear" w:pos="4320"/>
          <w:tab w:val="clear" w:pos="8640"/>
        </w:tabs>
        <w:rPr>
          <w:rFonts w:ascii="Times New Roman" w:hAnsi="Times New Roman"/>
          <w:b/>
          <w:szCs w:val="24"/>
        </w:rPr>
      </w:pPr>
      <w:r>
        <w:rPr>
          <w:b/>
        </w:rPr>
        <w:t xml:space="preserve">T 3/9 </w:t>
      </w:r>
      <w:r w:rsidR="0047495D">
        <w:rPr>
          <w:b/>
        </w:rPr>
        <w:t xml:space="preserve">– </w:t>
      </w:r>
      <w:r w:rsidR="007D3A10">
        <w:rPr>
          <w:rFonts w:ascii="Times New Roman" w:hAnsi="Times New Roman"/>
          <w:b/>
          <w:szCs w:val="24"/>
        </w:rPr>
        <w:t>Hindu Cosmology and Ecology – Rivers</w:t>
      </w:r>
    </w:p>
    <w:p w14:paraId="349A571F" w14:textId="77777777" w:rsidR="007D3A10" w:rsidRDefault="007D3A10" w:rsidP="007D3A10">
      <w:pPr>
        <w:pStyle w:val="Footer"/>
        <w:tabs>
          <w:tab w:val="clear" w:pos="4320"/>
          <w:tab w:val="clear" w:pos="8640"/>
        </w:tabs>
      </w:pPr>
      <w:r>
        <w:rPr>
          <w:rFonts w:ascii="Times New Roman" w:hAnsi="Times New Roman"/>
          <w:b/>
          <w:szCs w:val="24"/>
        </w:rPr>
        <w:t xml:space="preserve">Read: </w:t>
      </w:r>
      <w:r>
        <w:t>Kent, “Hinduism and Environmentalism in Modern India,” second part</w:t>
      </w:r>
    </w:p>
    <w:p w14:paraId="200D0FD6" w14:textId="7943D1DE" w:rsidR="007D3A10" w:rsidRDefault="007D3A10" w:rsidP="007D3A10">
      <w:r w:rsidRPr="00E67016">
        <w:rPr>
          <w:b/>
        </w:rPr>
        <w:t>Read:</w:t>
      </w:r>
      <w:r>
        <w:t xml:space="preserve"> Kelly Alley, “Idioms of Degeneracy: Assessing Ganga's Purity and Pollution</w:t>
      </w:r>
      <w:r w:rsidR="00D62E88">
        <w:t>”</w:t>
      </w:r>
      <w:r>
        <w:t xml:space="preserve"> in </w:t>
      </w:r>
      <w:r w:rsidRPr="00D62E88">
        <w:rPr>
          <w:i/>
        </w:rPr>
        <w:t>Purifying the Earthly Body of God,</w:t>
      </w:r>
      <w:r>
        <w:t xml:space="preserve"> ed</w:t>
      </w:r>
      <w:r w:rsidR="00D62E88">
        <w:t>.</w:t>
      </w:r>
      <w:r>
        <w:t xml:space="preserve"> by Lance Nelson (SUNY Press, 1998), pp. </w:t>
      </w:r>
      <w:r w:rsidR="00D62E88">
        <w:t>297-330.</w:t>
      </w:r>
    </w:p>
    <w:p w14:paraId="650AC01D" w14:textId="77777777" w:rsidR="00E67016" w:rsidRPr="00E67016" w:rsidRDefault="00E67016" w:rsidP="00E67016"/>
    <w:p w14:paraId="4C40E4A1" w14:textId="37E122FD" w:rsidR="00536AD6" w:rsidRDefault="00D62E88" w:rsidP="00536AD6">
      <w:pPr>
        <w:rPr>
          <w:b/>
        </w:rPr>
      </w:pPr>
      <w:r>
        <w:rPr>
          <w:b/>
        </w:rPr>
        <w:t xml:space="preserve">R 3/11 – Hindu Cosmology and Ecology – Rivers </w:t>
      </w:r>
    </w:p>
    <w:p w14:paraId="53081F3F" w14:textId="340368E2" w:rsidR="00D62E88" w:rsidRDefault="00D62E88" w:rsidP="00536AD6">
      <w:r w:rsidRPr="00D62E88">
        <w:rPr>
          <w:b/>
        </w:rPr>
        <w:t xml:space="preserve">Read: </w:t>
      </w:r>
      <w:r>
        <w:t xml:space="preserve">Georgina Drew, “Beyond Contradiction: Sacred-Profane Waters and the Dialectics of Everyday Religion,” </w:t>
      </w:r>
      <w:r w:rsidRPr="00D62E88">
        <w:rPr>
          <w:i/>
        </w:rPr>
        <w:t>Himalaya</w:t>
      </w:r>
      <w:r>
        <w:t xml:space="preserve"> 36,2: 1-12. </w:t>
      </w:r>
    </w:p>
    <w:p w14:paraId="2B47F8BE" w14:textId="77777777" w:rsidR="00D62E88" w:rsidRDefault="00D62E88" w:rsidP="00D62E88">
      <w:pPr>
        <w:rPr>
          <w:b/>
        </w:rPr>
      </w:pPr>
    </w:p>
    <w:p w14:paraId="5B52A786" w14:textId="2F9543DA" w:rsidR="00D62E88" w:rsidRPr="00B2274C" w:rsidRDefault="00D62E88" w:rsidP="00D62E88">
      <w:pPr>
        <w:rPr>
          <w:b/>
        </w:rPr>
      </w:pPr>
      <w:r w:rsidRPr="00424E48">
        <w:rPr>
          <w:b/>
          <w:highlight w:val="yellow"/>
        </w:rPr>
        <w:t>F 3/12 - Second module synthesis paper due -</w:t>
      </w:r>
      <w:r w:rsidRPr="00424E48">
        <w:rPr>
          <w:i/>
          <w:highlight w:val="yellow"/>
        </w:rPr>
        <w:t xml:space="preserve"> What are the strongest arguments that Pope Francis makes against Lynn White’s contention that Christianity is in many ways responsible for the environmental crisis?  What effect may religious faith in the omnipotence and benevolence of God (as exemplified by Pope Francis) have on one’s attitude towards the environmental crisis?</w:t>
      </w:r>
      <w:r w:rsidRPr="00B2274C">
        <w:rPr>
          <w:i/>
        </w:rPr>
        <w:t xml:space="preserve">  </w:t>
      </w:r>
    </w:p>
    <w:p w14:paraId="01DB759B" w14:textId="77777777" w:rsidR="00D62E88" w:rsidRPr="00D62E88" w:rsidRDefault="00D62E88" w:rsidP="00536AD6"/>
    <w:p w14:paraId="708FD0DF" w14:textId="5B5B51B9" w:rsidR="00BD0BAA" w:rsidRPr="00B2274C" w:rsidRDefault="00536AD6" w:rsidP="00536AD6">
      <w:pPr>
        <w:rPr>
          <w:u w:val="single"/>
        </w:rPr>
      </w:pPr>
      <w:r w:rsidRPr="00B2274C">
        <w:rPr>
          <w:u w:val="single"/>
        </w:rPr>
        <w:t xml:space="preserve">Week Seven – </w:t>
      </w:r>
      <w:r w:rsidR="008741DD">
        <w:rPr>
          <w:u w:val="single"/>
        </w:rPr>
        <w:t>Greening Religion 2: Hinduism - Rivers</w:t>
      </w:r>
    </w:p>
    <w:p w14:paraId="1C17A11D" w14:textId="77777777" w:rsidR="000219B1" w:rsidRPr="00B2274C" w:rsidRDefault="000219B1" w:rsidP="00536AD6"/>
    <w:p w14:paraId="16F77CCC" w14:textId="30491943" w:rsidR="00651FB1" w:rsidRDefault="00651FB1" w:rsidP="00DE1136">
      <w:pPr>
        <w:rPr>
          <w:b/>
        </w:rPr>
      </w:pPr>
      <w:r>
        <w:rPr>
          <w:b/>
        </w:rPr>
        <w:t>T 3/16</w:t>
      </w:r>
      <w:r w:rsidR="00B82679" w:rsidRPr="00B2274C">
        <w:rPr>
          <w:b/>
        </w:rPr>
        <w:t xml:space="preserve"> </w:t>
      </w:r>
      <w:proofErr w:type="gramStart"/>
      <w:r w:rsidR="000C4EE2" w:rsidRPr="00B2274C">
        <w:rPr>
          <w:b/>
        </w:rPr>
        <w:t>–</w:t>
      </w:r>
      <w:r w:rsidR="00124E5E" w:rsidRPr="00B2274C">
        <w:rPr>
          <w:b/>
        </w:rPr>
        <w:t xml:space="preserve"> </w:t>
      </w:r>
      <w:r>
        <w:rPr>
          <w:b/>
        </w:rPr>
        <w:t xml:space="preserve"> No</w:t>
      </w:r>
      <w:proofErr w:type="gramEnd"/>
      <w:r>
        <w:rPr>
          <w:b/>
        </w:rPr>
        <w:t xml:space="preserve"> Class!  </w:t>
      </w:r>
      <w:r w:rsidR="00D62E88">
        <w:rPr>
          <w:b/>
        </w:rPr>
        <w:t xml:space="preserve">Midterm break!  </w:t>
      </w:r>
    </w:p>
    <w:p w14:paraId="11663A05" w14:textId="77777777" w:rsidR="00295FAD" w:rsidRPr="00B2274C" w:rsidRDefault="00295FAD" w:rsidP="00536AD6">
      <w:pPr>
        <w:rPr>
          <w:b/>
        </w:rPr>
      </w:pPr>
    </w:p>
    <w:p w14:paraId="02BD95CC" w14:textId="2ED837CB" w:rsidR="007D3A10" w:rsidRDefault="00651FB1" w:rsidP="007D3A10">
      <w:pPr>
        <w:rPr>
          <w:b/>
        </w:rPr>
      </w:pPr>
      <w:r>
        <w:rPr>
          <w:b/>
        </w:rPr>
        <w:t>R 3/18</w:t>
      </w:r>
      <w:r w:rsidR="00BD0BAA" w:rsidRPr="00B2274C">
        <w:rPr>
          <w:b/>
        </w:rPr>
        <w:t xml:space="preserve"> </w:t>
      </w:r>
      <w:r w:rsidR="00124E5E" w:rsidRPr="00B2274C">
        <w:rPr>
          <w:b/>
        </w:rPr>
        <w:t>–</w:t>
      </w:r>
      <w:r w:rsidR="004F7303" w:rsidRPr="00B2274C">
        <w:rPr>
          <w:b/>
        </w:rPr>
        <w:t xml:space="preserve"> </w:t>
      </w:r>
      <w:r w:rsidR="007D3A10">
        <w:rPr>
          <w:b/>
        </w:rPr>
        <w:t xml:space="preserve">Hindu Cosmology and Ecology – </w:t>
      </w:r>
      <w:r w:rsidR="00D62E88">
        <w:rPr>
          <w:b/>
        </w:rPr>
        <w:t>F</w:t>
      </w:r>
      <w:r w:rsidR="007D3A10">
        <w:rPr>
          <w:b/>
        </w:rPr>
        <w:t xml:space="preserve">orests </w:t>
      </w:r>
    </w:p>
    <w:p w14:paraId="3E287293" w14:textId="77777777" w:rsidR="007D3A10" w:rsidRDefault="007D3A10" w:rsidP="007D3A10">
      <w:r w:rsidRPr="005D5771">
        <w:rPr>
          <w:b/>
        </w:rPr>
        <w:t>Read:</w:t>
      </w:r>
      <w:r>
        <w:t xml:space="preserve"> </w:t>
      </w:r>
      <w:r w:rsidRPr="00DE1136">
        <w:t>Ramachandra Guha, “Authoritarianism in the Wild,” from</w:t>
      </w:r>
      <w:r>
        <w:rPr>
          <w:b/>
        </w:rPr>
        <w:t xml:space="preserve"> </w:t>
      </w:r>
      <w:r w:rsidRPr="00DE1136">
        <w:rPr>
          <w:i/>
        </w:rPr>
        <w:t>How Much Should a Person Consume</w:t>
      </w:r>
      <w:r>
        <w:rPr>
          <w:b/>
        </w:rPr>
        <w:t xml:space="preserve"> </w:t>
      </w:r>
      <w:r w:rsidRPr="00DE1136">
        <w:t>(</w:t>
      </w:r>
      <w:r w:rsidR="00D62E88">
        <w:t xml:space="preserve">pp. </w:t>
      </w:r>
      <w:r w:rsidRPr="00DE1136">
        <w:t>125-151)</w:t>
      </w:r>
    </w:p>
    <w:p w14:paraId="53D5EC74" w14:textId="77777777" w:rsidR="00651FB1" w:rsidRDefault="00651FB1" w:rsidP="001235FC">
      <w:pPr>
        <w:rPr>
          <w:u w:val="single"/>
        </w:rPr>
      </w:pPr>
    </w:p>
    <w:p w14:paraId="4B5180D3" w14:textId="2E065030" w:rsidR="00B373BB" w:rsidRPr="00B373BB" w:rsidRDefault="001235FC" w:rsidP="00DE1136">
      <w:pPr>
        <w:rPr>
          <w:u w:val="single"/>
        </w:rPr>
      </w:pPr>
      <w:r>
        <w:rPr>
          <w:u w:val="single"/>
        </w:rPr>
        <w:t xml:space="preserve">Week </w:t>
      </w:r>
      <w:r w:rsidR="008741DD">
        <w:rPr>
          <w:u w:val="single"/>
        </w:rPr>
        <w:t>Eight</w:t>
      </w:r>
      <w:r>
        <w:rPr>
          <w:u w:val="single"/>
        </w:rPr>
        <w:t xml:space="preserve"> – </w:t>
      </w:r>
      <w:r w:rsidRPr="00B2274C">
        <w:rPr>
          <w:u w:val="single"/>
        </w:rPr>
        <w:t xml:space="preserve">Greening Religion 2: Hinduism </w:t>
      </w:r>
      <w:r w:rsidR="008741DD">
        <w:rPr>
          <w:u w:val="single"/>
        </w:rPr>
        <w:t>- Forests</w:t>
      </w:r>
    </w:p>
    <w:p w14:paraId="6A0FC7FA" w14:textId="77777777" w:rsidR="007D3A10" w:rsidRDefault="00651FB1" w:rsidP="007D3A10">
      <w:pPr>
        <w:rPr>
          <w:b/>
        </w:rPr>
      </w:pPr>
      <w:r>
        <w:rPr>
          <w:b/>
        </w:rPr>
        <w:t>T 3/23</w:t>
      </w:r>
      <w:r w:rsidR="001235FC" w:rsidRPr="00B2274C">
        <w:rPr>
          <w:b/>
        </w:rPr>
        <w:t xml:space="preserve"> – </w:t>
      </w:r>
      <w:r w:rsidR="007D3A10">
        <w:rPr>
          <w:b/>
        </w:rPr>
        <w:t>Hindu cosmology and ecology – forests</w:t>
      </w:r>
    </w:p>
    <w:p w14:paraId="7A77B4C2" w14:textId="0C58CA0E" w:rsidR="007D3A10" w:rsidRDefault="007D3A10" w:rsidP="007D3A10">
      <w:r>
        <w:rPr>
          <w:b/>
        </w:rPr>
        <w:t xml:space="preserve">Read: </w:t>
      </w:r>
      <w:r>
        <w:t xml:space="preserve">“Hinduism and Environmentalism in Modern India,” fourth part and conclusion </w:t>
      </w:r>
    </w:p>
    <w:p w14:paraId="454C35FB" w14:textId="04758BCB" w:rsidR="00D62E88" w:rsidRDefault="00D62E88" w:rsidP="007D3A10">
      <w:r>
        <w:t xml:space="preserve">Lecture by Prof. Kent on sacred groves in India </w:t>
      </w:r>
    </w:p>
    <w:p w14:paraId="5EAF3602" w14:textId="77777777" w:rsidR="008741DD" w:rsidRPr="00B2274C" w:rsidRDefault="008741DD" w:rsidP="001235FC">
      <w:pPr>
        <w:rPr>
          <w:b/>
        </w:rPr>
      </w:pPr>
    </w:p>
    <w:p w14:paraId="1F33284B" w14:textId="77777777" w:rsidR="0099722E" w:rsidRDefault="0099722E" w:rsidP="00536AD6">
      <w:pPr>
        <w:rPr>
          <w:b/>
        </w:rPr>
      </w:pPr>
    </w:p>
    <w:p w14:paraId="18C881B5" w14:textId="63A72B40" w:rsidR="00457E4F" w:rsidRDefault="00651FB1" w:rsidP="00536AD6">
      <w:pPr>
        <w:rPr>
          <w:b/>
        </w:rPr>
      </w:pPr>
      <w:r>
        <w:rPr>
          <w:b/>
        </w:rPr>
        <w:t>R 3/25</w:t>
      </w:r>
      <w:r w:rsidR="001235FC" w:rsidRPr="00B2274C">
        <w:rPr>
          <w:b/>
        </w:rPr>
        <w:t xml:space="preserve"> </w:t>
      </w:r>
      <w:r w:rsidR="00DE1136">
        <w:rPr>
          <w:b/>
        </w:rPr>
        <w:t>–</w:t>
      </w:r>
      <w:r w:rsidR="001235FC" w:rsidRPr="00B2274C">
        <w:rPr>
          <w:b/>
        </w:rPr>
        <w:t xml:space="preserve"> </w:t>
      </w:r>
      <w:r w:rsidR="008F392B">
        <w:rPr>
          <w:b/>
        </w:rPr>
        <w:t xml:space="preserve">Native American Religion and ecology </w:t>
      </w:r>
    </w:p>
    <w:p w14:paraId="16C740A0" w14:textId="01D68BEE" w:rsidR="008F392B" w:rsidRPr="008F392B" w:rsidRDefault="008F392B" w:rsidP="00536AD6">
      <w:r>
        <w:rPr>
          <w:b/>
        </w:rPr>
        <w:t xml:space="preserve">Read: </w:t>
      </w:r>
      <w:r>
        <w:t xml:space="preserve">Gary Paul </w:t>
      </w:r>
      <w:proofErr w:type="spellStart"/>
      <w:r>
        <w:t>Nabhan</w:t>
      </w:r>
      <w:proofErr w:type="spellEnd"/>
      <w:r>
        <w:t xml:space="preserve">, “Cultural Parallax in Viewing North American Habitats,” </w:t>
      </w:r>
      <w:r w:rsidRPr="008F392B">
        <w:rPr>
          <w:i/>
        </w:rPr>
        <w:t>Worldviews, Religion and the Environment</w:t>
      </w:r>
      <w:r>
        <w:t>, ed. by Richard C. Foltz, pp. 104-111</w:t>
      </w:r>
    </w:p>
    <w:p w14:paraId="4489299E" w14:textId="77777777" w:rsidR="007D3A10" w:rsidRDefault="007D3A10" w:rsidP="00536AD6">
      <w:pPr>
        <w:rPr>
          <w:u w:val="single"/>
        </w:rPr>
      </w:pPr>
    </w:p>
    <w:p w14:paraId="5BDA7C23" w14:textId="06B9B1C1" w:rsidR="00D62E88" w:rsidRPr="00D62E88" w:rsidRDefault="00D62E88" w:rsidP="00D62E88">
      <w:pPr>
        <w:jc w:val="center"/>
        <w:rPr>
          <w:b/>
          <w:sz w:val="28"/>
          <w:szCs w:val="28"/>
        </w:rPr>
      </w:pPr>
      <w:r w:rsidRPr="00D62E88">
        <w:rPr>
          <w:b/>
          <w:sz w:val="28"/>
          <w:szCs w:val="28"/>
        </w:rPr>
        <w:t>MODULE FOUR: GREENING NATIVE AMERICAN RELIGIONS</w:t>
      </w:r>
    </w:p>
    <w:p w14:paraId="132ACCEE" w14:textId="77777777" w:rsidR="00D62E88" w:rsidRDefault="00D62E88" w:rsidP="00B373BB">
      <w:pPr>
        <w:rPr>
          <w:u w:val="single"/>
        </w:rPr>
      </w:pPr>
    </w:p>
    <w:p w14:paraId="5345D8B4" w14:textId="67D93749" w:rsidR="00B373BB" w:rsidRPr="00B373BB" w:rsidRDefault="00536AD6" w:rsidP="00B373BB">
      <w:pPr>
        <w:rPr>
          <w:u w:val="single"/>
        </w:rPr>
      </w:pPr>
      <w:r w:rsidRPr="00B2274C">
        <w:rPr>
          <w:u w:val="single"/>
        </w:rPr>
        <w:t xml:space="preserve">Week </w:t>
      </w:r>
      <w:r w:rsidR="008741DD">
        <w:rPr>
          <w:u w:val="single"/>
        </w:rPr>
        <w:t>Nine</w:t>
      </w:r>
      <w:r w:rsidRPr="00B2274C">
        <w:rPr>
          <w:u w:val="single"/>
        </w:rPr>
        <w:t xml:space="preserve"> – </w:t>
      </w:r>
      <w:r w:rsidR="00491766" w:rsidRPr="00B2274C">
        <w:rPr>
          <w:u w:val="single"/>
        </w:rPr>
        <w:t>Greening Religion</w:t>
      </w:r>
      <w:r w:rsidR="008741DD">
        <w:rPr>
          <w:u w:val="single"/>
        </w:rPr>
        <w:t>: Native American Religions</w:t>
      </w:r>
    </w:p>
    <w:p w14:paraId="4088DDB7" w14:textId="77777777" w:rsidR="007D3A10" w:rsidRDefault="00651FB1" w:rsidP="007D3A10">
      <w:pPr>
        <w:rPr>
          <w:b/>
        </w:rPr>
      </w:pPr>
      <w:r>
        <w:rPr>
          <w:b/>
        </w:rPr>
        <w:t>T 3/30</w:t>
      </w:r>
      <w:r w:rsidR="00217F66" w:rsidRPr="00B2274C">
        <w:rPr>
          <w:b/>
        </w:rPr>
        <w:t xml:space="preserve"> </w:t>
      </w:r>
      <w:r w:rsidR="00DE1136">
        <w:rPr>
          <w:b/>
        </w:rPr>
        <w:t>–</w:t>
      </w:r>
      <w:r w:rsidR="00217F66" w:rsidRPr="00B2274C">
        <w:rPr>
          <w:b/>
        </w:rPr>
        <w:t xml:space="preserve"> </w:t>
      </w:r>
      <w:r w:rsidR="007D3A10">
        <w:rPr>
          <w:b/>
        </w:rPr>
        <w:t>Indigenous Wisdom, Scientific Knowledge and the Teaching of Plants</w:t>
      </w:r>
    </w:p>
    <w:p w14:paraId="481A9D14" w14:textId="0CABCF3E" w:rsidR="007D3A10" w:rsidRPr="00B2274C" w:rsidRDefault="007D3A10" w:rsidP="007D3A10">
      <w:r>
        <w:rPr>
          <w:b/>
        </w:rPr>
        <w:t xml:space="preserve">Read: </w:t>
      </w:r>
      <w:r>
        <w:t xml:space="preserve">Robin Wall Kimmerer, </w:t>
      </w:r>
      <w:r w:rsidRPr="005D5771">
        <w:rPr>
          <w:i/>
        </w:rPr>
        <w:t>Braiding Sweetgrass</w:t>
      </w:r>
      <w:r>
        <w:rPr>
          <w:i/>
        </w:rPr>
        <w:t xml:space="preserve">, </w:t>
      </w:r>
      <w:r>
        <w:t>(for sure preface through p. 32, more if you like)</w:t>
      </w:r>
    </w:p>
    <w:p w14:paraId="24D2EC05" w14:textId="77777777" w:rsidR="00DD7E82" w:rsidRPr="00B2274C" w:rsidRDefault="00DD7E82" w:rsidP="00536AD6">
      <w:pPr>
        <w:rPr>
          <w:b/>
        </w:rPr>
      </w:pPr>
    </w:p>
    <w:p w14:paraId="7A779FB1" w14:textId="77777777" w:rsidR="007D3A10" w:rsidRDefault="00651FB1" w:rsidP="007D3A10">
      <w:pPr>
        <w:rPr>
          <w:b/>
        </w:rPr>
      </w:pPr>
      <w:r>
        <w:rPr>
          <w:b/>
        </w:rPr>
        <w:t>R 4/1</w:t>
      </w:r>
      <w:r w:rsidR="00DD7E82" w:rsidRPr="00B2274C">
        <w:rPr>
          <w:b/>
        </w:rPr>
        <w:t xml:space="preserve"> </w:t>
      </w:r>
      <w:r w:rsidR="00991B04" w:rsidRPr="00B2274C">
        <w:rPr>
          <w:b/>
        </w:rPr>
        <w:t>–</w:t>
      </w:r>
      <w:r w:rsidR="009E0ADE">
        <w:rPr>
          <w:b/>
        </w:rPr>
        <w:t xml:space="preserve"> </w:t>
      </w:r>
      <w:r w:rsidR="007D3A10">
        <w:rPr>
          <w:b/>
        </w:rPr>
        <w:t>Indigenous Wisdom, Scientific Knowledge and the Teaching of Plants</w:t>
      </w:r>
    </w:p>
    <w:p w14:paraId="5A364CA6" w14:textId="11D87093" w:rsidR="007D3A10" w:rsidRDefault="007D3A10" w:rsidP="007D3A10">
      <w:r>
        <w:rPr>
          <w:b/>
        </w:rPr>
        <w:t xml:space="preserve">Read: </w:t>
      </w:r>
      <w:r>
        <w:t xml:space="preserve">Robin Wall Kimmerer, </w:t>
      </w:r>
      <w:r w:rsidRPr="005D5771">
        <w:rPr>
          <w:i/>
        </w:rPr>
        <w:t>Braiding Sweetgrass</w:t>
      </w:r>
      <w:r>
        <w:rPr>
          <w:i/>
        </w:rPr>
        <w:t xml:space="preserve">, </w:t>
      </w:r>
      <w:r>
        <w:t>(for sure 83-117, 121-155 more if you like)</w:t>
      </w:r>
    </w:p>
    <w:p w14:paraId="376382C8" w14:textId="7F9D0227" w:rsidR="00D62E88" w:rsidRDefault="00D62E88" w:rsidP="007D3A10"/>
    <w:p w14:paraId="456887A8" w14:textId="0D1FB992" w:rsidR="00D62E88" w:rsidRPr="00D62E88" w:rsidRDefault="00D62E88" w:rsidP="007D3A10">
      <w:pPr>
        <w:rPr>
          <w:b/>
        </w:rPr>
      </w:pPr>
      <w:r w:rsidRPr="00424E48">
        <w:rPr>
          <w:b/>
          <w:highlight w:val="yellow"/>
        </w:rPr>
        <w:t>F 4/2 – Due: Third Module Synthesis paper on Greening Hinduism</w:t>
      </w:r>
      <w:r w:rsidRPr="00D62E88">
        <w:rPr>
          <w:b/>
        </w:rPr>
        <w:t xml:space="preserve"> </w:t>
      </w:r>
    </w:p>
    <w:p w14:paraId="14DDD7FF" w14:textId="77777777" w:rsidR="00621F50" w:rsidRPr="00B2274C" w:rsidRDefault="00621F50" w:rsidP="00536AD6">
      <w:pPr>
        <w:tabs>
          <w:tab w:val="left" w:pos="720"/>
          <w:tab w:val="left" w:pos="7920"/>
        </w:tabs>
      </w:pPr>
    </w:p>
    <w:p w14:paraId="3B891614" w14:textId="62AAF6A4" w:rsidR="00B373BB" w:rsidRPr="00B373BB" w:rsidRDefault="00536AD6" w:rsidP="00536AD6">
      <w:pPr>
        <w:rPr>
          <w:u w:val="single"/>
        </w:rPr>
      </w:pPr>
      <w:r w:rsidRPr="00B2274C">
        <w:rPr>
          <w:u w:val="single"/>
        </w:rPr>
        <w:t xml:space="preserve">Week </w:t>
      </w:r>
      <w:r w:rsidR="008741DD">
        <w:rPr>
          <w:u w:val="single"/>
        </w:rPr>
        <w:t>Ten</w:t>
      </w:r>
      <w:r w:rsidRPr="00B2274C">
        <w:rPr>
          <w:u w:val="single"/>
        </w:rPr>
        <w:t xml:space="preserve"> </w:t>
      </w:r>
      <w:r w:rsidR="00DC79A5" w:rsidRPr="00B2274C">
        <w:rPr>
          <w:u w:val="single"/>
        </w:rPr>
        <w:t>–Lakota Religion/ Standing Rock #</w:t>
      </w:r>
      <w:proofErr w:type="spellStart"/>
      <w:r w:rsidR="00DC79A5" w:rsidRPr="00B2274C">
        <w:rPr>
          <w:u w:val="single"/>
        </w:rPr>
        <w:t>NoDAPL</w:t>
      </w:r>
      <w:proofErr w:type="spellEnd"/>
      <w:r w:rsidR="00DC79A5" w:rsidRPr="00B2274C">
        <w:rPr>
          <w:u w:val="single"/>
        </w:rPr>
        <w:t xml:space="preserve"> Protests </w:t>
      </w:r>
    </w:p>
    <w:p w14:paraId="110024A4" w14:textId="77777777" w:rsidR="00651FB1" w:rsidRDefault="00651FB1" w:rsidP="00DE1136"/>
    <w:p w14:paraId="41496AB7" w14:textId="715339A8" w:rsidR="007D3A10" w:rsidRDefault="00651FB1" w:rsidP="007D3A10">
      <w:pPr>
        <w:rPr>
          <w:b/>
        </w:rPr>
      </w:pPr>
      <w:r>
        <w:t>T 4/6</w:t>
      </w:r>
      <w:r w:rsidR="00544679" w:rsidRPr="00B2274C">
        <w:rPr>
          <w:b/>
        </w:rPr>
        <w:t xml:space="preserve"> </w:t>
      </w:r>
      <w:proofErr w:type="gramStart"/>
      <w:r w:rsidR="00792429" w:rsidRPr="00B2274C">
        <w:rPr>
          <w:b/>
        </w:rPr>
        <w:t>–</w:t>
      </w:r>
      <w:r w:rsidR="007D3A10" w:rsidRPr="007D3A10">
        <w:rPr>
          <w:b/>
        </w:rPr>
        <w:t xml:space="preserve"> </w:t>
      </w:r>
      <w:r w:rsidR="007D3A10">
        <w:rPr>
          <w:b/>
        </w:rPr>
        <w:t xml:space="preserve"> Indigenous</w:t>
      </w:r>
      <w:proofErr w:type="gramEnd"/>
      <w:r w:rsidR="007D3A10">
        <w:rPr>
          <w:b/>
        </w:rPr>
        <w:t xml:space="preserve"> Wisdom, Scientific Knowledge and the Teaching of Plants</w:t>
      </w:r>
    </w:p>
    <w:p w14:paraId="388FC7B9" w14:textId="131AC00D" w:rsidR="007D3A10" w:rsidRDefault="007D3A10" w:rsidP="007D3A10">
      <w:r>
        <w:rPr>
          <w:b/>
        </w:rPr>
        <w:t xml:space="preserve">Read: </w:t>
      </w:r>
      <w:r>
        <w:t xml:space="preserve">Robin Wall Kimmerer, </w:t>
      </w:r>
      <w:r w:rsidRPr="005D5771">
        <w:rPr>
          <w:i/>
        </w:rPr>
        <w:t>Braiding Sweetgrass</w:t>
      </w:r>
      <w:r>
        <w:rPr>
          <w:i/>
        </w:rPr>
        <w:t xml:space="preserve"> </w:t>
      </w:r>
      <w:r>
        <w:t xml:space="preserve">(205-253 and 303-384, some refining of </w:t>
      </w:r>
      <w:r w:rsidR="00D442E2">
        <w:t>the</w:t>
      </w:r>
      <w:r>
        <w:t xml:space="preserve"> reading assignment </w:t>
      </w:r>
      <w:r w:rsidR="00D442E2">
        <w:t>may</w:t>
      </w:r>
      <w:r>
        <w:t xml:space="preserve"> be necessary, depending on where we all are)</w:t>
      </w:r>
    </w:p>
    <w:p w14:paraId="044660E2" w14:textId="142A3BFB" w:rsidR="00D442E2" w:rsidRPr="00B2274C" w:rsidRDefault="00D62E88" w:rsidP="007D3A10">
      <w:r>
        <w:rPr>
          <w:b/>
        </w:rPr>
        <w:t>ASYNCHRONOUS WORK</w:t>
      </w:r>
      <w:r w:rsidR="00D442E2">
        <w:rPr>
          <w:b/>
        </w:rPr>
        <w:t xml:space="preserve"> – PROF. AT ACADEMIC MEETING</w:t>
      </w:r>
    </w:p>
    <w:p w14:paraId="7EDB06D0" w14:textId="77777777" w:rsidR="008741DD" w:rsidRPr="00B2274C" w:rsidRDefault="008741DD" w:rsidP="00536AD6"/>
    <w:p w14:paraId="7D289912" w14:textId="77777777" w:rsidR="007D3A10" w:rsidRPr="00B2274C" w:rsidRDefault="00651FB1" w:rsidP="007D3A10">
      <w:pPr>
        <w:rPr>
          <w:b/>
        </w:rPr>
      </w:pPr>
      <w:r>
        <w:rPr>
          <w:b/>
        </w:rPr>
        <w:t xml:space="preserve">R 4/8 </w:t>
      </w:r>
      <w:proofErr w:type="gramStart"/>
      <w:r>
        <w:rPr>
          <w:b/>
        </w:rPr>
        <w:t xml:space="preserve">- </w:t>
      </w:r>
      <w:r w:rsidR="00DD7E82" w:rsidRPr="00B2274C">
        <w:rPr>
          <w:b/>
        </w:rPr>
        <w:t xml:space="preserve"> </w:t>
      </w:r>
      <w:r w:rsidR="007D3A10">
        <w:rPr>
          <w:b/>
        </w:rPr>
        <w:t>History</w:t>
      </w:r>
      <w:proofErr w:type="gramEnd"/>
      <w:r w:rsidR="007D3A10">
        <w:rPr>
          <w:b/>
        </w:rPr>
        <w:t xml:space="preserve">, Cosmology, Ecology - </w:t>
      </w:r>
      <w:r w:rsidR="007D3A10" w:rsidRPr="00B2274C">
        <w:rPr>
          <w:b/>
        </w:rPr>
        <w:t>Lakota People</w:t>
      </w:r>
    </w:p>
    <w:p w14:paraId="19854DF7" w14:textId="3EDF914D" w:rsidR="007D3A10" w:rsidRDefault="007D3A10" w:rsidP="007D3A10">
      <w:r w:rsidRPr="00B2274C">
        <w:rPr>
          <w:b/>
        </w:rPr>
        <w:t xml:space="preserve">Read: </w:t>
      </w:r>
      <w:r>
        <w:t xml:space="preserve">Peter Nabokov, </w:t>
      </w:r>
      <w:r w:rsidR="008F392B">
        <w:t xml:space="preserve">“The Heart of Everything: Lakota/Cheyenne/Kiowa,” in </w:t>
      </w:r>
      <w:r w:rsidR="008F392B" w:rsidRPr="001235FC">
        <w:rPr>
          <w:i/>
        </w:rPr>
        <w:t>Where Lightning Strikes</w:t>
      </w:r>
      <w:r w:rsidR="008F392B" w:rsidRPr="008F392B">
        <w:rPr>
          <w:i/>
        </w:rPr>
        <w:t>: The Lives of Native American Sacred Places,</w:t>
      </w:r>
      <w:r w:rsidR="008F392B">
        <w:t xml:space="preserve"> pp. 206-222.</w:t>
      </w:r>
    </w:p>
    <w:p w14:paraId="77547D7B" w14:textId="2B94264F" w:rsidR="007D3A10" w:rsidRPr="00B2274C" w:rsidRDefault="008F392B" w:rsidP="007D3A10">
      <w:r w:rsidRPr="00D62E88">
        <w:rPr>
          <w:b/>
        </w:rPr>
        <w:t>Read:</w:t>
      </w:r>
      <w:r>
        <w:t xml:space="preserve"> Vine Deloria, Jr. “Sacred Places and Moral Responsibility,” in </w:t>
      </w:r>
      <w:r w:rsidRPr="008F392B">
        <w:rPr>
          <w:i/>
        </w:rPr>
        <w:t>God is Red: A Native View of Religion</w:t>
      </w:r>
      <w:r>
        <w:t xml:space="preserve"> (1994)</w:t>
      </w:r>
    </w:p>
    <w:p w14:paraId="5F030B7D" w14:textId="77777777" w:rsidR="00C010B1" w:rsidRPr="00B2274C" w:rsidRDefault="00C010B1" w:rsidP="00536AD6">
      <w:pPr>
        <w:rPr>
          <w:u w:val="single"/>
        </w:rPr>
      </w:pPr>
    </w:p>
    <w:p w14:paraId="383DB2BA" w14:textId="53C4E50B" w:rsidR="00536AD6" w:rsidRPr="00491766" w:rsidRDefault="00536AD6" w:rsidP="00536AD6">
      <w:r w:rsidRPr="00B2274C">
        <w:rPr>
          <w:u w:val="single"/>
        </w:rPr>
        <w:t xml:space="preserve">Week </w:t>
      </w:r>
      <w:r w:rsidR="008741DD">
        <w:rPr>
          <w:u w:val="single"/>
        </w:rPr>
        <w:t>Eleven</w:t>
      </w:r>
      <w:r w:rsidR="00DC79A5" w:rsidRPr="00B2274C">
        <w:rPr>
          <w:u w:val="single"/>
        </w:rPr>
        <w:t xml:space="preserve"> – </w:t>
      </w:r>
      <w:r w:rsidR="00491766" w:rsidRPr="00B2274C">
        <w:rPr>
          <w:u w:val="single"/>
        </w:rPr>
        <w:t>Lakota Religion/ Standing Rock #</w:t>
      </w:r>
      <w:proofErr w:type="spellStart"/>
      <w:r w:rsidR="00491766" w:rsidRPr="00B2274C">
        <w:rPr>
          <w:u w:val="single"/>
        </w:rPr>
        <w:t>NoDAPL</w:t>
      </w:r>
      <w:proofErr w:type="spellEnd"/>
      <w:r w:rsidR="00491766" w:rsidRPr="00B2274C">
        <w:rPr>
          <w:u w:val="single"/>
        </w:rPr>
        <w:t xml:space="preserve"> Protests </w:t>
      </w:r>
    </w:p>
    <w:p w14:paraId="57009753" w14:textId="7E458913" w:rsidR="00D62E88" w:rsidRDefault="00D62E88" w:rsidP="00D62E88">
      <w:pPr>
        <w:rPr>
          <w:i/>
        </w:rPr>
      </w:pPr>
      <w:bookmarkStart w:id="0" w:name="_GoBack"/>
      <w:bookmarkEnd w:id="0"/>
      <w:r w:rsidRPr="00424E48">
        <w:rPr>
          <w:b/>
          <w:highlight w:val="yellow"/>
        </w:rPr>
        <w:t xml:space="preserve">M </w:t>
      </w:r>
      <w:r w:rsidR="0099722E" w:rsidRPr="00424E48">
        <w:rPr>
          <w:b/>
          <w:highlight w:val="yellow"/>
        </w:rPr>
        <w:t xml:space="preserve">4/12 </w:t>
      </w:r>
      <w:r w:rsidRPr="00424E48">
        <w:rPr>
          <w:b/>
          <w:highlight w:val="yellow"/>
        </w:rPr>
        <w:t xml:space="preserve">- Nature Writing Assignment due on </w:t>
      </w:r>
      <w:proofErr w:type="spellStart"/>
      <w:r w:rsidRPr="00424E48">
        <w:rPr>
          <w:b/>
          <w:highlight w:val="yellow"/>
        </w:rPr>
        <w:t>theSpring</w:t>
      </w:r>
      <w:proofErr w:type="spellEnd"/>
    </w:p>
    <w:p w14:paraId="7182C917" w14:textId="77777777" w:rsidR="00AA1F1D" w:rsidRPr="00B2274C" w:rsidRDefault="00AA1F1D" w:rsidP="00536AD6"/>
    <w:p w14:paraId="57791F21" w14:textId="77777777" w:rsidR="007D3A10" w:rsidRDefault="00651FB1" w:rsidP="007D3A10">
      <w:pPr>
        <w:rPr>
          <w:rStyle w:val="Hyperlink"/>
        </w:rPr>
      </w:pPr>
      <w:r>
        <w:rPr>
          <w:b/>
        </w:rPr>
        <w:t>T 4/13</w:t>
      </w:r>
      <w:r w:rsidR="00E247AD" w:rsidRPr="00B2274C">
        <w:rPr>
          <w:b/>
        </w:rPr>
        <w:t xml:space="preserve"> –</w:t>
      </w:r>
      <w:r w:rsidR="005D5771" w:rsidRPr="005D5771">
        <w:rPr>
          <w:b/>
        </w:rPr>
        <w:t xml:space="preserve"> </w:t>
      </w:r>
      <w:r w:rsidR="007D3A10">
        <w:rPr>
          <w:b/>
        </w:rPr>
        <w:t>G</w:t>
      </w:r>
      <w:r w:rsidR="007D3A10" w:rsidRPr="00B2274C">
        <w:rPr>
          <w:b/>
        </w:rPr>
        <w:t>lobal Indigeneity and Environmental Protest Movements</w:t>
      </w:r>
    </w:p>
    <w:p w14:paraId="5EAC7D03" w14:textId="77777777" w:rsidR="008F392B" w:rsidRDefault="008F392B" w:rsidP="008F392B">
      <w:r w:rsidRPr="00B2274C">
        <w:rPr>
          <w:b/>
        </w:rPr>
        <w:t>Read:</w:t>
      </w:r>
      <w:r w:rsidRPr="00B2274C">
        <w:t xml:space="preserve"> Saul </w:t>
      </w:r>
      <w:proofErr w:type="spellStart"/>
      <w:r w:rsidRPr="00B2274C">
        <w:t>Elbein</w:t>
      </w:r>
      <w:proofErr w:type="spellEnd"/>
      <w:r w:rsidRPr="00B2274C">
        <w:t xml:space="preserve">, “The Seventh Generation: The Youth Group that Launched a Movement at Standing Rock,” </w:t>
      </w:r>
      <w:r w:rsidRPr="00B2274C">
        <w:rPr>
          <w:i/>
        </w:rPr>
        <w:t xml:space="preserve">The New York Times Magazine </w:t>
      </w:r>
      <w:r w:rsidRPr="00B2274C">
        <w:t>Ja. 31, 2017: 28-31, 49</w:t>
      </w:r>
    </w:p>
    <w:p w14:paraId="5CAC1A37" w14:textId="77777777" w:rsidR="007D3A10" w:rsidRPr="00B2274C" w:rsidRDefault="007D3A10" w:rsidP="007D3A10">
      <w:r w:rsidRPr="00B2274C">
        <w:rPr>
          <w:b/>
        </w:rPr>
        <w:t>Read:</w:t>
      </w:r>
      <w:r w:rsidRPr="00B2274C">
        <w:t xml:space="preserve"> Greg Johnson and Siv Ellen Kraft, “Standing on the Sacred: Ceremony, Discourse and Resistance in the Fight Against the Black Snake,” </w:t>
      </w:r>
      <w:r w:rsidRPr="00B2274C">
        <w:rPr>
          <w:i/>
        </w:rPr>
        <w:t xml:space="preserve">Journal for the Study of Religion, Nature and Culture </w:t>
      </w:r>
      <w:r w:rsidRPr="00B2274C">
        <w:t>11.1 (2017): 131-147</w:t>
      </w:r>
    </w:p>
    <w:p w14:paraId="51769907" w14:textId="77777777" w:rsidR="007D3A10" w:rsidRPr="00B2274C" w:rsidRDefault="005C39BA" w:rsidP="007D3A10">
      <w:hyperlink r:id="rId11" w:history="1">
        <w:r w:rsidR="007D3A10" w:rsidRPr="00231147">
          <w:rPr>
            <w:rStyle w:val="Hyperlink"/>
          </w:rPr>
          <w:t>Listen: Prolific the Rapper x a Tribe Called Red – Black</w:t>
        </w:r>
      </w:hyperlink>
      <w:r w:rsidR="007D3A10">
        <w:rPr>
          <w:rStyle w:val="Hyperlink"/>
        </w:rPr>
        <w:t xml:space="preserve"> Snakes</w:t>
      </w:r>
    </w:p>
    <w:p w14:paraId="49560E0D" w14:textId="77499D26" w:rsidR="00DD7E82" w:rsidRDefault="00DD7E82" w:rsidP="00BA2547">
      <w:pPr>
        <w:widowControl w:val="0"/>
        <w:adjustRightInd w:val="0"/>
        <w:rPr>
          <w:b/>
        </w:rPr>
      </w:pPr>
    </w:p>
    <w:p w14:paraId="4643AB79" w14:textId="42FF1C1D" w:rsidR="008F392B" w:rsidRDefault="00651FB1" w:rsidP="008F392B">
      <w:pPr>
        <w:rPr>
          <w:b/>
        </w:rPr>
      </w:pPr>
      <w:r>
        <w:rPr>
          <w:b/>
        </w:rPr>
        <w:t>R 4/15</w:t>
      </w:r>
      <w:r w:rsidR="00DD7E82" w:rsidRPr="00B2274C">
        <w:rPr>
          <w:b/>
        </w:rPr>
        <w:t xml:space="preserve"> </w:t>
      </w:r>
      <w:r w:rsidR="00AA1F1D" w:rsidRPr="00B2274C">
        <w:rPr>
          <w:b/>
        </w:rPr>
        <w:t>–</w:t>
      </w:r>
      <w:r w:rsidR="00DE1136" w:rsidRPr="00DE1136">
        <w:rPr>
          <w:b/>
        </w:rPr>
        <w:t xml:space="preserve"> </w:t>
      </w:r>
      <w:r w:rsidR="008F392B">
        <w:rPr>
          <w:b/>
        </w:rPr>
        <w:t xml:space="preserve">Case Study – Mauna Kea and the </w:t>
      </w:r>
      <w:r w:rsidR="00D62E88">
        <w:rPr>
          <w:b/>
        </w:rPr>
        <w:t>Thirty Meter T</w:t>
      </w:r>
      <w:r w:rsidR="008F392B">
        <w:rPr>
          <w:b/>
        </w:rPr>
        <w:t>elescope</w:t>
      </w:r>
      <w:r w:rsidR="00D62E88">
        <w:rPr>
          <w:b/>
        </w:rPr>
        <w:t xml:space="preserve"> (TMT)</w:t>
      </w:r>
    </w:p>
    <w:p w14:paraId="7AE0414E" w14:textId="2D161A59" w:rsidR="008F392B" w:rsidRDefault="007D3A10" w:rsidP="008F392B">
      <w:r w:rsidRPr="008F392B">
        <w:rPr>
          <w:b/>
        </w:rPr>
        <w:t>Read:</w:t>
      </w:r>
      <w:r>
        <w:t xml:space="preserve"> </w:t>
      </w:r>
      <w:hyperlink r:id="rId12" w:history="1">
        <w:proofErr w:type="spellStart"/>
        <w:r w:rsidR="008F392B" w:rsidRPr="008F392B">
          <w:rPr>
            <w:rStyle w:val="Hyperlink"/>
          </w:rPr>
          <w:t>Noenoe</w:t>
        </w:r>
        <w:proofErr w:type="spellEnd"/>
        <w:r w:rsidR="008F392B" w:rsidRPr="008F392B">
          <w:rPr>
            <w:rStyle w:val="Hyperlink"/>
          </w:rPr>
          <w:t xml:space="preserve"> K. Silva, “</w:t>
        </w:r>
        <w:proofErr w:type="spellStart"/>
        <w:r w:rsidR="008F392B" w:rsidRPr="008F392B">
          <w:rPr>
            <w:rStyle w:val="Hyperlink"/>
          </w:rPr>
          <w:t>Ke</w:t>
        </w:r>
        <w:proofErr w:type="spellEnd"/>
        <w:r w:rsidR="008F392B" w:rsidRPr="008F392B">
          <w:rPr>
            <w:rStyle w:val="Hyperlink"/>
          </w:rPr>
          <w:t xml:space="preserve"> Mau </w:t>
        </w:r>
        <w:proofErr w:type="spellStart"/>
        <w:r w:rsidR="008F392B" w:rsidRPr="008F392B">
          <w:rPr>
            <w:rStyle w:val="Hyperlink"/>
          </w:rPr>
          <w:t>Nei</w:t>
        </w:r>
        <w:proofErr w:type="spellEnd"/>
        <w:r w:rsidR="008F392B" w:rsidRPr="008F392B">
          <w:rPr>
            <w:rStyle w:val="Hyperlink"/>
          </w:rPr>
          <w:t xml:space="preserve"> </w:t>
        </w:r>
        <w:proofErr w:type="spellStart"/>
        <w:r w:rsidR="008F392B" w:rsidRPr="008F392B">
          <w:rPr>
            <w:rStyle w:val="Hyperlink"/>
          </w:rPr>
          <w:t>Nō</w:t>
        </w:r>
        <w:proofErr w:type="spellEnd"/>
        <w:r w:rsidR="008F392B" w:rsidRPr="008F392B">
          <w:rPr>
            <w:rStyle w:val="Hyperlink"/>
          </w:rPr>
          <w:t xml:space="preserve"> </w:t>
        </w:r>
        <w:proofErr w:type="spellStart"/>
        <w:r w:rsidR="008F392B" w:rsidRPr="008F392B">
          <w:rPr>
            <w:rStyle w:val="Hyperlink"/>
          </w:rPr>
          <w:t>Ke</w:t>
        </w:r>
        <w:proofErr w:type="spellEnd"/>
        <w:r w:rsidR="008F392B" w:rsidRPr="008F392B">
          <w:rPr>
            <w:rStyle w:val="Hyperlink"/>
          </w:rPr>
          <w:t xml:space="preserve"> </w:t>
        </w:r>
        <w:proofErr w:type="spellStart"/>
        <w:r w:rsidR="008F392B" w:rsidRPr="008F392B">
          <w:rPr>
            <w:rStyle w:val="Hyperlink"/>
          </w:rPr>
          <w:t>Ea</w:t>
        </w:r>
        <w:proofErr w:type="spellEnd"/>
        <w:r w:rsidR="008F392B" w:rsidRPr="008F392B">
          <w:rPr>
            <w:rStyle w:val="Hyperlink"/>
          </w:rPr>
          <w:t xml:space="preserve"> O Ka </w:t>
        </w:r>
        <w:proofErr w:type="spellStart"/>
        <w:r w:rsidR="008F392B" w:rsidRPr="008F392B">
          <w:rPr>
            <w:rStyle w:val="Hyperlink"/>
          </w:rPr>
          <w:t>ʻĀina</w:t>
        </w:r>
        <w:proofErr w:type="spellEnd"/>
        <w:r w:rsidR="008F392B" w:rsidRPr="008F392B">
          <w:rPr>
            <w:rStyle w:val="Hyperlink"/>
          </w:rPr>
          <w:t xml:space="preserve"> I Ka </w:t>
        </w:r>
        <w:proofErr w:type="spellStart"/>
        <w:r w:rsidR="008F392B" w:rsidRPr="008F392B">
          <w:rPr>
            <w:rStyle w:val="Hyperlink"/>
          </w:rPr>
          <w:t>Pono</w:t>
        </w:r>
        <w:proofErr w:type="spellEnd"/>
        <w:r w:rsidR="008F392B" w:rsidRPr="008F392B">
          <w:rPr>
            <w:rStyle w:val="Hyperlink"/>
          </w:rPr>
          <w:t>,”</w:t>
        </w:r>
      </w:hyperlink>
      <w:r w:rsidR="008F392B">
        <w:t xml:space="preserve"> </w:t>
      </w:r>
      <w:r w:rsidR="008F392B" w:rsidRPr="008F392B">
        <w:rPr>
          <w:i/>
        </w:rPr>
        <w:t xml:space="preserve">Radical History Review, The Abusable Past Forum 2.4, </w:t>
      </w:r>
      <w:r w:rsidR="008F392B">
        <w:t>August 14, 2019.</w:t>
      </w:r>
    </w:p>
    <w:p w14:paraId="32708DAA" w14:textId="77777777" w:rsidR="008F392B" w:rsidRDefault="008F392B" w:rsidP="008F392B">
      <w:r w:rsidRPr="008F392B">
        <w:rPr>
          <w:b/>
        </w:rPr>
        <w:t>Read/Browse:</w:t>
      </w:r>
      <w:r>
        <w:t xml:space="preserve"> TMT public information website</w:t>
      </w:r>
    </w:p>
    <w:p w14:paraId="43FD968F" w14:textId="676CCED5" w:rsidR="008F392B" w:rsidRDefault="005C39BA" w:rsidP="008F392B">
      <w:hyperlink r:id="rId13" w:history="1">
        <w:r w:rsidR="008F392B" w:rsidRPr="00BB4005">
          <w:rPr>
            <w:rStyle w:val="Hyperlink"/>
          </w:rPr>
          <w:t>https://www.maunakeaandtmt.org/</w:t>
        </w:r>
      </w:hyperlink>
    </w:p>
    <w:p w14:paraId="4553BA0C" w14:textId="77777777" w:rsidR="008F392B" w:rsidRDefault="008F392B" w:rsidP="008F392B">
      <w:r w:rsidRPr="008F392B">
        <w:rPr>
          <w:b/>
        </w:rPr>
        <w:t>Read:</w:t>
      </w:r>
      <w:r>
        <w:t xml:space="preserve"> History of TMT development from TMT organization’s POV</w:t>
      </w:r>
    </w:p>
    <w:p w14:paraId="0A83E1AB" w14:textId="4961BB1A" w:rsidR="008F392B" w:rsidRPr="008F392B" w:rsidRDefault="008F392B" w:rsidP="008F392B">
      <w:pPr>
        <w:rPr>
          <w:color w:val="0000FF"/>
          <w:u w:val="single"/>
        </w:rPr>
      </w:pPr>
      <w:r w:rsidRPr="008F392B">
        <w:t>https://www.maunakeaandtmt.org/tmt-process/</w:t>
      </w:r>
    </w:p>
    <w:p w14:paraId="3BA23F62" w14:textId="7C1131A9" w:rsidR="008F392B" w:rsidRDefault="008F392B" w:rsidP="007D3A10">
      <w:pPr>
        <w:widowControl w:val="0"/>
        <w:adjustRightInd w:val="0"/>
        <w:rPr>
          <w:lang w:eastAsia="en-US"/>
        </w:rPr>
      </w:pPr>
      <w:r w:rsidRPr="008F392B">
        <w:rPr>
          <w:b/>
          <w:lang w:eastAsia="en-US"/>
        </w:rPr>
        <w:lastRenderedPageBreak/>
        <w:t>Watch:</w:t>
      </w:r>
      <w:r>
        <w:rPr>
          <w:lang w:eastAsia="en-US"/>
        </w:rPr>
        <w:t xml:space="preserve"> “</w:t>
      </w:r>
      <w:proofErr w:type="spellStart"/>
      <w:r>
        <w:rPr>
          <w:lang w:eastAsia="en-US"/>
        </w:rPr>
        <w:t>Kapu</w:t>
      </w:r>
      <w:proofErr w:type="spellEnd"/>
      <w:r>
        <w:rPr>
          <w:lang w:eastAsia="en-US"/>
        </w:rPr>
        <w:t xml:space="preserve"> Aloha 101” footage from a non-violent </w:t>
      </w:r>
      <w:proofErr w:type="gramStart"/>
      <w:r>
        <w:rPr>
          <w:lang w:eastAsia="en-US"/>
        </w:rPr>
        <w:t>direct action</w:t>
      </w:r>
      <w:proofErr w:type="gramEnd"/>
      <w:r>
        <w:rPr>
          <w:lang w:eastAsia="en-US"/>
        </w:rPr>
        <w:t xml:space="preserve"> campaign against construction of TMT on Mauna Kea, from Hawaiian language/culture public access TV station (12 minutes)</w:t>
      </w:r>
    </w:p>
    <w:p w14:paraId="487D0481" w14:textId="4EC64BFD" w:rsidR="007D3A10" w:rsidRDefault="008F392B" w:rsidP="007D3A10">
      <w:pPr>
        <w:widowControl w:val="0"/>
        <w:adjustRightInd w:val="0"/>
        <w:rPr>
          <w:b/>
        </w:rPr>
      </w:pPr>
      <w:r w:rsidRPr="008F392B">
        <w:rPr>
          <w:b/>
        </w:rPr>
        <w:t>https://oiwi.tv/maunakea/kapu-aloha-101/</w:t>
      </w:r>
    </w:p>
    <w:p w14:paraId="54A83012" w14:textId="64DBEFD7" w:rsidR="00D62E88" w:rsidRDefault="00D62E88" w:rsidP="00BA2547">
      <w:pPr>
        <w:rPr>
          <w:b/>
        </w:rPr>
      </w:pPr>
    </w:p>
    <w:p w14:paraId="648CEA1D" w14:textId="0CFE40AA" w:rsidR="00D62E88" w:rsidRDefault="00D62E88" w:rsidP="00BA2547">
      <w:pPr>
        <w:rPr>
          <w:b/>
        </w:rPr>
      </w:pPr>
    </w:p>
    <w:p w14:paraId="11038357" w14:textId="7893859B" w:rsidR="00D62E88" w:rsidRDefault="00D62E88" w:rsidP="00D62E88">
      <w:pPr>
        <w:jc w:val="center"/>
        <w:rPr>
          <w:b/>
          <w:sz w:val="28"/>
          <w:szCs w:val="28"/>
        </w:rPr>
      </w:pPr>
      <w:r w:rsidRPr="00D62E88">
        <w:rPr>
          <w:b/>
          <w:sz w:val="28"/>
          <w:szCs w:val="28"/>
        </w:rPr>
        <w:t>MODULE FIVE: ENCHANTED SECULARITY</w:t>
      </w:r>
    </w:p>
    <w:p w14:paraId="4E797721" w14:textId="77777777" w:rsidR="00D62E88" w:rsidRPr="00D62E88" w:rsidRDefault="00D62E88" w:rsidP="00D62E88">
      <w:pPr>
        <w:jc w:val="center"/>
        <w:rPr>
          <w:b/>
          <w:sz w:val="28"/>
          <w:szCs w:val="28"/>
        </w:rPr>
      </w:pPr>
    </w:p>
    <w:p w14:paraId="1EBC9D5B" w14:textId="3B237F24" w:rsidR="00AA1F1D" w:rsidRDefault="00536AD6" w:rsidP="00536AD6">
      <w:pPr>
        <w:rPr>
          <w:u w:val="single"/>
        </w:rPr>
      </w:pPr>
      <w:r w:rsidRPr="00B2274C">
        <w:rPr>
          <w:u w:val="single"/>
        </w:rPr>
        <w:t xml:space="preserve">Week </w:t>
      </w:r>
      <w:r w:rsidR="008741DD">
        <w:rPr>
          <w:u w:val="single"/>
        </w:rPr>
        <w:t>Twelve</w:t>
      </w:r>
      <w:r w:rsidRPr="00B2274C">
        <w:rPr>
          <w:u w:val="single"/>
        </w:rPr>
        <w:t xml:space="preserve"> –</w:t>
      </w:r>
      <w:r w:rsidR="00D7363D">
        <w:rPr>
          <w:u w:val="single"/>
        </w:rPr>
        <w:t xml:space="preserve"> Enchanted Secularity </w:t>
      </w:r>
      <w:r w:rsidR="008F392B">
        <w:rPr>
          <w:u w:val="single"/>
        </w:rPr>
        <w:t xml:space="preserve">– New Stories </w:t>
      </w:r>
    </w:p>
    <w:p w14:paraId="5BD1533B" w14:textId="29FC8840" w:rsidR="008F392B" w:rsidRPr="00D62E88" w:rsidRDefault="00D62E88" w:rsidP="00536AD6">
      <w:pPr>
        <w:rPr>
          <w:b/>
        </w:rPr>
      </w:pPr>
      <w:r w:rsidRPr="00424E48">
        <w:rPr>
          <w:b/>
          <w:highlight w:val="yellow"/>
        </w:rPr>
        <w:t>M 4/19</w:t>
      </w:r>
      <w:r w:rsidR="008F392B" w:rsidRPr="00424E48">
        <w:rPr>
          <w:b/>
          <w:highlight w:val="yellow"/>
        </w:rPr>
        <w:t xml:space="preserve">: </w:t>
      </w:r>
      <w:r w:rsidRPr="00424E48">
        <w:rPr>
          <w:b/>
          <w:highlight w:val="yellow"/>
        </w:rPr>
        <w:t>Fourth Module Synthesis paper due</w:t>
      </w:r>
      <w:r w:rsidRPr="00D62E88">
        <w:rPr>
          <w:b/>
        </w:rPr>
        <w:t xml:space="preserve"> </w:t>
      </w:r>
    </w:p>
    <w:p w14:paraId="51F20534" w14:textId="77777777" w:rsidR="008F392B" w:rsidRPr="008F392B" w:rsidRDefault="008F392B" w:rsidP="00536AD6"/>
    <w:p w14:paraId="6D660D48" w14:textId="7F6277A8" w:rsidR="00D7363D" w:rsidRPr="00B2274C" w:rsidRDefault="00651FB1" w:rsidP="00D7363D">
      <w:pPr>
        <w:tabs>
          <w:tab w:val="left" w:pos="720"/>
          <w:tab w:val="left" w:pos="7920"/>
        </w:tabs>
      </w:pPr>
      <w:r>
        <w:rPr>
          <w:b/>
        </w:rPr>
        <w:t>T 4/20</w:t>
      </w:r>
      <w:r w:rsidR="00DC79A5" w:rsidRPr="00B2274C">
        <w:rPr>
          <w:b/>
        </w:rPr>
        <w:t xml:space="preserve"> </w:t>
      </w:r>
      <w:r w:rsidR="00AA1F1D" w:rsidRPr="00B2274C">
        <w:rPr>
          <w:b/>
        </w:rPr>
        <w:t>–</w:t>
      </w:r>
      <w:r w:rsidR="00DC79A5" w:rsidRPr="00B2274C">
        <w:rPr>
          <w:b/>
        </w:rPr>
        <w:t xml:space="preserve"> </w:t>
      </w:r>
      <w:r w:rsidR="008F392B">
        <w:rPr>
          <w:b/>
        </w:rPr>
        <w:t xml:space="preserve">Secular Visions and Ecology – Introduction </w:t>
      </w:r>
    </w:p>
    <w:p w14:paraId="7F1887C7" w14:textId="77777777" w:rsidR="00D7363D" w:rsidRDefault="00D7363D" w:rsidP="00D7363D">
      <w:pPr>
        <w:tabs>
          <w:tab w:val="left" w:pos="720"/>
          <w:tab w:val="left" w:pos="7920"/>
        </w:tabs>
      </w:pPr>
      <w:r w:rsidRPr="00B2274C">
        <w:rPr>
          <w:b/>
        </w:rPr>
        <w:t>Read:</w:t>
      </w:r>
      <w:r w:rsidRPr="00B2274C">
        <w:t xml:space="preserve"> Val </w:t>
      </w:r>
      <w:proofErr w:type="spellStart"/>
      <w:r w:rsidRPr="00B2274C">
        <w:t>Plumwood</w:t>
      </w:r>
      <w:proofErr w:type="spellEnd"/>
      <w:r w:rsidRPr="00B2274C">
        <w:t xml:space="preserve">, “Surviving a Crocodile Attack,” </w:t>
      </w:r>
      <w:r w:rsidRPr="00B2274C">
        <w:rPr>
          <w:i/>
        </w:rPr>
        <w:t>UTNE Reader</w:t>
      </w:r>
      <w:r w:rsidRPr="00B2274C">
        <w:t xml:space="preserve"> July August 2000: 1-6. </w:t>
      </w:r>
    </w:p>
    <w:p w14:paraId="0E0AC783" w14:textId="77777777" w:rsidR="00DD7E82" w:rsidRPr="00B2274C" w:rsidRDefault="00DD7E82" w:rsidP="00536AD6">
      <w:pPr>
        <w:rPr>
          <w:b/>
        </w:rPr>
      </w:pPr>
    </w:p>
    <w:p w14:paraId="7A0AFA71" w14:textId="5692CF89" w:rsidR="008F392B" w:rsidRDefault="00651FB1" w:rsidP="008F392B">
      <w:pPr>
        <w:pStyle w:val="Footer"/>
        <w:tabs>
          <w:tab w:val="clear" w:pos="4320"/>
          <w:tab w:val="clear" w:pos="8640"/>
        </w:tabs>
        <w:rPr>
          <w:b/>
        </w:rPr>
      </w:pPr>
      <w:r>
        <w:rPr>
          <w:b/>
        </w:rPr>
        <w:t>R 4/22</w:t>
      </w:r>
      <w:r w:rsidR="00AA1F1D" w:rsidRPr="00B2274C">
        <w:rPr>
          <w:b/>
        </w:rPr>
        <w:t xml:space="preserve"> – </w:t>
      </w:r>
      <w:r w:rsidR="008F392B">
        <w:rPr>
          <w:b/>
        </w:rPr>
        <w:t xml:space="preserve">The Universe Story </w:t>
      </w:r>
    </w:p>
    <w:p w14:paraId="5ADF3E43" w14:textId="50E19B2D" w:rsidR="008F392B" w:rsidRDefault="008F392B" w:rsidP="008F392B">
      <w:pPr>
        <w:pStyle w:val="Footer"/>
        <w:tabs>
          <w:tab w:val="clear" w:pos="4320"/>
          <w:tab w:val="clear" w:pos="8640"/>
        </w:tabs>
        <w:rPr>
          <w:rFonts w:ascii="Times New Roman" w:hAnsi="Times New Roman"/>
          <w:szCs w:val="24"/>
        </w:rPr>
      </w:pPr>
      <w:r w:rsidRPr="00B2274C">
        <w:rPr>
          <w:rFonts w:ascii="Times New Roman" w:hAnsi="Times New Roman"/>
          <w:b/>
          <w:szCs w:val="24"/>
        </w:rPr>
        <w:t>View:</w:t>
      </w:r>
      <w:r w:rsidRPr="00B2274C">
        <w:rPr>
          <w:rFonts w:ascii="Times New Roman" w:hAnsi="Times New Roman"/>
          <w:szCs w:val="24"/>
        </w:rPr>
        <w:t xml:space="preserve"> </w:t>
      </w:r>
      <w:r w:rsidRPr="00B2274C">
        <w:rPr>
          <w:rFonts w:ascii="Times New Roman" w:hAnsi="Times New Roman"/>
          <w:i/>
          <w:szCs w:val="24"/>
        </w:rPr>
        <w:t>Journey of the Universe.</w:t>
      </w:r>
      <w:r w:rsidRPr="00B2274C">
        <w:rPr>
          <w:rFonts w:ascii="Times New Roman" w:hAnsi="Times New Roman"/>
          <w:szCs w:val="24"/>
        </w:rPr>
        <w:t xml:space="preserve"> Directed by David Kennard, Patsy Northcutt. MVD Entertainment Group, 2011. 55 minutes. </w:t>
      </w:r>
      <w:r>
        <w:rPr>
          <w:rFonts w:ascii="Times New Roman" w:hAnsi="Times New Roman"/>
          <w:szCs w:val="24"/>
        </w:rPr>
        <w:t xml:space="preserve"> </w:t>
      </w:r>
    </w:p>
    <w:p w14:paraId="416468AE" w14:textId="77777777" w:rsidR="008F392B" w:rsidRPr="00B2274C" w:rsidRDefault="008F392B" w:rsidP="008F392B">
      <w:pPr>
        <w:pStyle w:val="Footer"/>
        <w:tabs>
          <w:tab w:val="clear" w:pos="4320"/>
          <w:tab w:val="clear" w:pos="8640"/>
        </w:tabs>
        <w:rPr>
          <w:rFonts w:ascii="Times New Roman" w:hAnsi="Times New Roman"/>
          <w:szCs w:val="24"/>
        </w:rPr>
      </w:pPr>
      <w:r w:rsidRPr="00AB40CC">
        <w:rPr>
          <w:rFonts w:ascii="Times New Roman" w:hAnsi="Times New Roman"/>
          <w:szCs w:val="24"/>
        </w:rPr>
        <w:t>https://skidmore.kanopy.com/video/journey-universe</w:t>
      </w:r>
    </w:p>
    <w:p w14:paraId="6C034CC7" w14:textId="77777777" w:rsidR="008F392B" w:rsidRDefault="008F392B" w:rsidP="008F392B">
      <w:pPr>
        <w:pStyle w:val="Footer"/>
        <w:tabs>
          <w:tab w:val="clear" w:pos="4320"/>
          <w:tab w:val="clear" w:pos="8640"/>
        </w:tabs>
        <w:rPr>
          <w:rFonts w:ascii="Times New Roman" w:hAnsi="Times New Roman"/>
          <w:szCs w:val="24"/>
        </w:rPr>
      </w:pPr>
      <w:r w:rsidRPr="00B2274C">
        <w:rPr>
          <w:rFonts w:ascii="Times New Roman" w:hAnsi="Times New Roman"/>
          <w:b/>
          <w:szCs w:val="24"/>
        </w:rPr>
        <w:t>Read:</w:t>
      </w:r>
      <w:r w:rsidRPr="00B2274C">
        <w:rPr>
          <w:rFonts w:ascii="Times New Roman" w:hAnsi="Times New Roman"/>
          <w:szCs w:val="24"/>
        </w:rPr>
        <w:t xml:space="preserve">  Brian </w:t>
      </w:r>
      <w:proofErr w:type="spellStart"/>
      <w:r w:rsidRPr="00B2274C">
        <w:rPr>
          <w:rFonts w:ascii="Times New Roman" w:hAnsi="Times New Roman"/>
          <w:szCs w:val="24"/>
        </w:rPr>
        <w:t>Swimme</w:t>
      </w:r>
      <w:proofErr w:type="spellEnd"/>
      <w:r w:rsidRPr="00B2274C">
        <w:rPr>
          <w:rFonts w:ascii="Times New Roman" w:hAnsi="Times New Roman"/>
          <w:szCs w:val="24"/>
        </w:rPr>
        <w:t xml:space="preserve">, </w:t>
      </w:r>
      <w:r w:rsidRPr="00B2274C">
        <w:rPr>
          <w:rFonts w:ascii="Times New Roman" w:hAnsi="Times New Roman"/>
          <w:i/>
          <w:szCs w:val="24"/>
        </w:rPr>
        <w:t xml:space="preserve">The Universe Story: From the Primordial Flaring Forth to the </w:t>
      </w:r>
      <w:proofErr w:type="spellStart"/>
      <w:r w:rsidRPr="00B2274C">
        <w:rPr>
          <w:rFonts w:ascii="Times New Roman" w:hAnsi="Times New Roman"/>
          <w:i/>
          <w:szCs w:val="24"/>
        </w:rPr>
        <w:t>Ecozoic</w:t>
      </w:r>
      <w:proofErr w:type="spellEnd"/>
      <w:r w:rsidRPr="00B2274C">
        <w:rPr>
          <w:rFonts w:ascii="Times New Roman" w:hAnsi="Times New Roman"/>
          <w:i/>
          <w:szCs w:val="24"/>
        </w:rPr>
        <w:t xml:space="preserve"> Era—A Celebration of the Unfolding of the Cosmos</w:t>
      </w:r>
      <w:r w:rsidRPr="00B2274C">
        <w:rPr>
          <w:rFonts w:ascii="Times New Roman" w:hAnsi="Times New Roman"/>
          <w:szCs w:val="24"/>
        </w:rPr>
        <w:t xml:space="preserve"> (1994), </w:t>
      </w:r>
      <w:r>
        <w:rPr>
          <w:rFonts w:ascii="Times New Roman" w:hAnsi="Times New Roman"/>
          <w:szCs w:val="24"/>
        </w:rPr>
        <w:t xml:space="preserve">pp. 1-5 </w:t>
      </w:r>
    </w:p>
    <w:p w14:paraId="4410BAF8" w14:textId="48563A1C" w:rsidR="008F392B" w:rsidRDefault="008F392B" w:rsidP="008F392B">
      <w:pPr>
        <w:pStyle w:val="Footer"/>
        <w:tabs>
          <w:tab w:val="clear" w:pos="4320"/>
          <w:tab w:val="clear" w:pos="8640"/>
        </w:tabs>
        <w:rPr>
          <w:rFonts w:ascii="Times New Roman" w:hAnsi="Times New Roman"/>
          <w:szCs w:val="24"/>
        </w:rPr>
      </w:pPr>
      <w:r w:rsidRPr="008F392B">
        <w:rPr>
          <w:rFonts w:ascii="Times New Roman" w:hAnsi="Times New Roman"/>
          <w:b/>
          <w:szCs w:val="24"/>
        </w:rPr>
        <w:t>Do:</w:t>
      </w:r>
      <w:r>
        <w:rPr>
          <w:rFonts w:ascii="Times New Roman" w:hAnsi="Times New Roman"/>
          <w:szCs w:val="24"/>
        </w:rPr>
        <w:t xml:space="preserve"> Viewing Guide for </w:t>
      </w:r>
      <w:r w:rsidRPr="008F392B">
        <w:rPr>
          <w:rFonts w:ascii="Times New Roman" w:hAnsi="Times New Roman"/>
          <w:i/>
          <w:szCs w:val="24"/>
        </w:rPr>
        <w:t>Journey of the Universe</w:t>
      </w:r>
      <w:r w:rsidRPr="00B2274C">
        <w:rPr>
          <w:rFonts w:ascii="Times New Roman" w:hAnsi="Times New Roman"/>
          <w:szCs w:val="24"/>
        </w:rPr>
        <w:t xml:space="preserve"> </w:t>
      </w:r>
    </w:p>
    <w:p w14:paraId="18B219F5" w14:textId="6F383892" w:rsidR="00536AD6" w:rsidRPr="00B2274C" w:rsidRDefault="00536AD6" w:rsidP="008F392B"/>
    <w:p w14:paraId="010A455A" w14:textId="7C92ABDC" w:rsidR="00DD2462" w:rsidRPr="00D62E88" w:rsidRDefault="00536AD6" w:rsidP="00536AD6">
      <w:pPr>
        <w:rPr>
          <w:u w:val="single"/>
        </w:rPr>
      </w:pPr>
      <w:r w:rsidRPr="00B2274C">
        <w:rPr>
          <w:u w:val="single"/>
        </w:rPr>
        <w:t xml:space="preserve">Week </w:t>
      </w:r>
      <w:r w:rsidR="008741DD">
        <w:rPr>
          <w:u w:val="single"/>
        </w:rPr>
        <w:t>Thirteen</w:t>
      </w:r>
      <w:r w:rsidRPr="00B2274C">
        <w:rPr>
          <w:u w:val="single"/>
        </w:rPr>
        <w:t xml:space="preserve"> – </w:t>
      </w:r>
      <w:r w:rsidR="00D62E88">
        <w:rPr>
          <w:u w:val="single"/>
        </w:rPr>
        <w:t xml:space="preserve">Enchanted Secularity – New Stories </w:t>
      </w:r>
    </w:p>
    <w:p w14:paraId="737ADDE0" w14:textId="1A9F9128" w:rsidR="005D5771" w:rsidRPr="00B2274C" w:rsidRDefault="00651FB1" w:rsidP="00D7363D">
      <w:pPr>
        <w:widowControl w:val="0"/>
        <w:adjustRightInd w:val="0"/>
      </w:pPr>
      <w:r>
        <w:rPr>
          <w:b/>
        </w:rPr>
        <w:t>T 4/</w:t>
      </w:r>
      <w:proofErr w:type="gramStart"/>
      <w:r>
        <w:rPr>
          <w:b/>
        </w:rPr>
        <w:t>27</w:t>
      </w:r>
      <w:r w:rsidR="00AA1F1D" w:rsidRPr="00B2274C">
        <w:rPr>
          <w:b/>
        </w:rPr>
        <w:t xml:space="preserve">  -</w:t>
      </w:r>
      <w:proofErr w:type="gramEnd"/>
      <w:r w:rsidR="00AA1F1D" w:rsidRPr="00B2274C">
        <w:rPr>
          <w:b/>
        </w:rPr>
        <w:t xml:space="preserve"> </w:t>
      </w:r>
      <w:r w:rsidR="008F392B">
        <w:rPr>
          <w:b/>
        </w:rPr>
        <w:t>Science as Sacred Myth</w:t>
      </w:r>
    </w:p>
    <w:p w14:paraId="09158BC4" w14:textId="77777777" w:rsidR="008F392B" w:rsidRPr="00B2274C" w:rsidRDefault="008F392B" w:rsidP="008F392B">
      <w:r w:rsidRPr="00B2274C">
        <w:rPr>
          <w:b/>
        </w:rPr>
        <w:t xml:space="preserve">Read: </w:t>
      </w:r>
      <w:r w:rsidRPr="00B2274C">
        <w:t xml:space="preserve">Lisa Sideris, “Science as Sacred Myth: </w:t>
      </w:r>
      <w:proofErr w:type="spellStart"/>
      <w:r w:rsidRPr="00B2274C">
        <w:t>Ecospirituality</w:t>
      </w:r>
      <w:proofErr w:type="spellEnd"/>
      <w:r w:rsidRPr="00B2274C">
        <w:t xml:space="preserve"> in the Anthropocene Age,” </w:t>
      </w:r>
      <w:r w:rsidRPr="00B2274C">
        <w:rPr>
          <w:i/>
        </w:rPr>
        <w:t xml:space="preserve">Journal for the Study of Religion, Nature and Culture </w:t>
      </w:r>
      <w:r w:rsidRPr="00B2274C">
        <w:t xml:space="preserve">9.2 (2015): 136-153. </w:t>
      </w:r>
    </w:p>
    <w:p w14:paraId="74D6E94B" w14:textId="77777777" w:rsidR="00DD7E82" w:rsidRPr="00B2274C" w:rsidRDefault="00DD7E82" w:rsidP="00536AD6">
      <w:pPr>
        <w:rPr>
          <w:b/>
        </w:rPr>
      </w:pPr>
    </w:p>
    <w:p w14:paraId="0C7DAA38" w14:textId="26FB904F" w:rsidR="008F392B" w:rsidRDefault="00651FB1" w:rsidP="008F392B">
      <w:pPr>
        <w:rPr>
          <w:b/>
        </w:rPr>
      </w:pPr>
      <w:r>
        <w:rPr>
          <w:b/>
        </w:rPr>
        <w:t>R 4/</w:t>
      </w:r>
      <w:proofErr w:type="gramStart"/>
      <w:r>
        <w:rPr>
          <w:b/>
        </w:rPr>
        <w:t xml:space="preserve">29 </w:t>
      </w:r>
      <w:r w:rsidR="00AA1F1D" w:rsidRPr="00B2274C">
        <w:rPr>
          <w:b/>
        </w:rPr>
        <w:t xml:space="preserve"> </w:t>
      </w:r>
      <w:r w:rsidR="005D5771">
        <w:rPr>
          <w:b/>
        </w:rPr>
        <w:t>–</w:t>
      </w:r>
      <w:proofErr w:type="gramEnd"/>
      <w:r w:rsidR="008F392B">
        <w:rPr>
          <w:b/>
        </w:rPr>
        <w:t xml:space="preserve"> Religious Naturalism and Hope </w:t>
      </w:r>
    </w:p>
    <w:p w14:paraId="46169A87" w14:textId="235FA2F7" w:rsidR="008F392B" w:rsidRDefault="008F392B" w:rsidP="008F392B">
      <w:pPr>
        <w:rPr>
          <w:b/>
        </w:rPr>
      </w:pPr>
      <w:r>
        <w:rPr>
          <w:b/>
        </w:rPr>
        <w:t xml:space="preserve">Read: </w:t>
      </w:r>
      <w:r w:rsidRPr="008F392B">
        <w:t xml:space="preserve">Carol Wayne White, “Re-envisioning Hope: Anthropogenic Climate Change, Learned Ignorance and Religious Naturalism,” in </w:t>
      </w:r>
      <w:r w:rsidRPr="00D62E88">
        <w:rPr>
          <w:i/>
        </w:rPr>
        <w:t>Zygon</w:t>
      </w:r>
      <w:r w:rsidRPr="008F392B">
        <w:t xml:space="preserve"> 53,2 (June 2018): 570-585.</w:t>
      </w:r>
      <w:r>
        <w:rPr>
          <w:b/>
        </w:rPr>
        <w:t xml:space="preserve"> </w:t>
      </w:r>
    </w:p>
    <w:p w14:paraId="76F0FB57" w14:textId="22CED292" w:rsidR="00D62E88" w:rsidRDefault="00D62E88" w:rsidP="00D62E88">
      <w:pPr>
        <w:jc w:val="center"/>
      </w:pPr>
    </w:p>
    <w:p w14:paraId="7370DDC3" w14:textId="4BF880EB" w:rsidR="00D62E88" w:rsidRDefault="00D62E88" w:rsidP="00D62E88"/>
    <w:p w14:paraId="1776939C" w14:textId="411A91B5" w:rsidR="00D62E88" w:rsidRPr="00D62E88" w:rsidRDefault="00D62E88" w:rsidP="00D62E88">
      <w:pPr>
        <w:rPr>
          <w:b/>
        </w:rPr>
      </w:pPr>
      <w:r w:rsidRPr="00424E48">
        <w:rPr>
          <w:b/>
          <w:highlight w:val="yellow"/>
        </w:rPr>
        <w:t>W 5/12 – Take home final exam due – synthesis of fifth module + self-reflection on your learning in the course as a whole</w:t>
      </w:r>
    </w:p>
    <w:p w14:paraId="630DC86C" w14:textId="77777777" w:rsidR="00D62E88" w:rsidRDefault="00D62E88" w:rsidP="00D62E88">
      <w:pPr>
        <w:jc w:val="center"/>
      </w:pPr>
    </w:p>
    <w:p w14:paraId="5D15693D" w14:textId="73A58B03" w:rsidR="00536AD6" w:rsidRPr="00B2274C" w:rsidRDefault="00536AD6" w:rsidP="00D62E88">
      <w:pPr>
        <w:jc w:val="center"/>
        <w:rPr>
          <w:b/>
        </w:rPr>
      </w:pPr>
      <w:r w:rsidRPr="00B2274C">
        <w:br w:type="page"/>
      </w:r>
      <w:r w:rsidRPr="00B2274C">
        <w:rPr>
          <w:b/>
          <w:caps/>
        </w:rPr>
        <w:lastRenderedPageBreak/>
        <w:t>A</w:t>
      </w:r>
      <w:r w:rsidRPr="00B2274C">
        <w:rPr>
          <w:b/>
        </w:rPr>
        <w:t xml:space="preserve">ppendix </w:t>
      </w:r>
      <w:r w:rsidR="00C27FC5">
        <w:rPr>
          <w:b/>
        </w:rPr>
        <w:t>A</w:t>
      </w:r>
    </w:p>
    <w:p w14:paraId="19733955" w14:textId="77777777" w:rsidR="00536AD6" w:rsidRPr="00B2274C" w:rsidRDefault="00536AD6" w:rsidP="00536AD6">
      <w:pPr>
        <w:pStyle w:val="BodyText"/>
        <w:jc w:val="center"/>
      </w:pPr>
      <w:r w:rsidRPr="00B2274C">
        <w:rPr>
          <w:b/>
        </w:rPr>
        <w:t>Citation Format</w:t>
      </w:r>
    </w:p>
    <w:p w14:paraId="746B2221" w14:textId="77777777" w:rsidR="00536AD6" w:rsidRPr="00B2274C" w:rsidRDefault="00536AD6" w:rsidP="00536AD6">
      <w:pPr>
        <w:pStyle w:val="BodyText"/>
        <w:rPr>
          <w:szCs w:val="22"/>
        </w:rPr>
      </w:pPr>
    </w:p>
    <w:p w14:paraId="4D094B4A" w14:textId="77777777" w:rsidR="00536AD6" w:rsidRDefault="00536AD6" w:rsidP="00016502">
      <w:pPr>
        <w:rPr>
          <w:sz w:val="22"/>
          <w:szCs w:val="22"/>
        </w:rPr>
      </w:pPr>
      <w:r w:rsidRPr="00B2274C">
        <w:rPr>
          <w:sz w:val="22"/>
          <w:szCs w:val="22"/>
        </w:rPr>
        <w:t xml:space="preserve">For this class, please use the MLA in-text citation system for citing quotations and ideas that you have arrived at from reading other authors.  See Purdue University’s OWL guide to citations, for a complete discussion of this system [https://owl.english.purdue.edu/owl/resource/747/02/].  </w:t>
      </w:r>
    </w:p>
    <w:p w14:paraId="11673932" w14:textId="77777777" w:rsidR="00016502" w:rsidRDefault="00016502" w:rsidP="00016502">
      <w:pPr>
        <w:rPr>
          <w:sz w:val="22"/>
          <w:szCs w:val="22"/>
        </w:rPr>
      </w:pPr>
    </w:p>
    <w:p w14:paraId="789A4719" w14:textId="77777777" w:rsidR="00536AD6" w:rsidRDefault="00536AD6" w:rsidP="00016502">
      <w:pPr>
        <w:rPr>
          <w:sz w:val="22"/>
          <w:szCs w:val="22"/>
        </w:rPr>
      </w:pPr>
      <w:r w:rsidRPr="00B2274C">
        <w:rPr>
          <w:sz w:val="22"/>
          <w:szCs w:val="22"/>
        </w:rPr>
        <w:t xml:space="preserve">Briefly, in this method of citation, one introduces the source in a signal phrase that gives the author’s name (first and last at first mention, last name only thereafter).  Parenthetical references following the cited material supply the page number or numbers.  No abbreviations like p. or pp. precede the page number, unless the absence of them would cause confusion for the reader.  These parenthetical references are keyed to a list of works cited, which is placed at the end of the paper.  This list is arranged alphabetically and may bear the title “Works Cited,” or “Bibliography.”  </w:t>
      </w:r>
    </w:p>
    <w:p w14:paraId="527FC33D" w14:textId="77777777" w:rsidR="00016502" w:rsidRDefault="00016502" w:rsidP="00016502">
      <w:pPr>
        <w:rPr>
          <w:sz w:val="22"/>
          <w:szCs w:val="22"/>
        </w:rPr>
      </w:pPr>
    </w:p>
    <w:p w14:paraId="51A67587" w14:textId="77777777" w:rsidR="00536AD6" w:rsidRPr="00B2274C" w:rsidRDefault="00536AD6" w:rsidP="00016502">
      <w:pPr>
        <w:rPr>
          <w:sz w:val="22"/>
          <w:szCs w:val="22"/>
        </w:rPr>
      </w:pPr>
      <w:r w:rsidRPr="00B2274C">
        <w:rPr>
          <w:sz w:val="22"/>
          <w:szCs w:val="22"/>
        </w:rPr>
        <w:t xml:space="preserve">If you want to comment on a citation but do not want to do so in the body of the paper, you may add a footnote, which is easily done with the footnote function of your word processing software.  </w:t>
      </w:r>
    </w:p>
    <w:p w14:paraId="79F7A829" w14:textId="77777777" w:rsidR="00536AD6" w:rsidRPr="00B2274C" w:rsidRDefault="00536AD6" w:rsidP="00536AD6">
      <w:pPr>
        <w:pStyle w:val="BodyText"/>
        <w:jc w:val="center"/>
        <w:rPr>
          <w:b/>
          <w:caps/>
        </w:rPr>
      </w:pPr>
    </w:p>
    <w:p w14:paraId="2CFB3138" w14:textId="77777777" w:rsidR="00536AD6" w:rsidRPr="00B2274C" w:rsidRDefault="00536AD6" w:rsidP="00536AD6">
      <w:pPr>
        <w:pStyle w:val="BodyText"/>
        <w:jc w:val="center"/>
        <w:rPr>
          <w:b/>
          <w:caps/>
        </w:rPr>
      </w:pPr>
      <w:r w:rsidRPr="00B2274C">
        <w:rPr>
          <w:b/>
          <w:caps/>
        </w:rPr>
        <w:t>Citation Example</w:t>
      </w:r>
    </w:p>
    <w:p w14:paraId="6B23EA3A" w14:textId="77777777" w:rsidR="00536AD6" w:rsidRPr="00B2274C" w:rsidRDefault="00536AD6" w:rsidP="00016502">
      <w:pPr>
        <w:pStyle w:val="BodyText"/>
      </w:pPr>
      <w:r w:rsidRPr="00B2274C">
        <w:t xml:space="preserve">In </w:t>
      </w:r>
      <w:r w:rsidRPr="00B2274C">
        <w:rPr>
          <w:i/>
        </w:rPr>
        <w:t>Shamans, Mystics and Doctors</w:t>
      </w:r>
      <w:r w:rsidRPr="00B2274C">
        <w:t xml:space="preserve">, Sudhir Kakar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Stoler Miller emphasizes this by titling the fourth section of Patanjali’s Yoga-Sutras, “Absolute Freedom” (74).  This is not to say that India lacks this-worldly thinkers who have worked hard to win political and social freedom by changing external conditions; rather, it is to emphasize the role that ascetic other-worldly thinkers have had in defining and shaping core Indian values.  </w:t>
      </w:r>
    </w:p>
    <w:p w14:paraId="5BDDB405" w14:textId="77777777" w:rsidR="00536AD6" w:rsidRPr="00B2274C" w:rsidRDefault="00536AD6" w:rsidP="00536AD6">
      <w:pPr>
        <w:pStyle w:val="BodyText"/>
        <w:ind w:firstLine="720"/>
      </w:pPr>
      <w:r w:rsidRPr="00B2274C">
        <w:t xml:space="preserve">  </w:t>
      </w:r>
    </w:p>
    <w:p w14:paraId="635014E2" w14:textId="77777777" w:rsidR="00536AD6" w:rsidRPr="00B2274C" w:rsidRDefault="00536AD6" w:rsidP="00536AD6">
      <w:pPr>
        <w:pStyle w:val="BodyText"/>
      </w:pPr>
      <w:r w:rsidRPr="00B2274C">
        <w:t>[</w:t>
      </w:r>
      <w:r w:rsidRPr="00B2274C">
        <w:rPr>
          <w:b/>
        </w:rPr>
        <w:t xml:space="preserve">Note: </w:t>
      </w:r>
      <w:r w:rsidRPr="00B2274C">
        <w:t xml:space="preserve">It seems odd at first, but the concluding period or other punctuation mark must go outside the final quotation mark, and </w:t>
      </w:r>
      <w:r w:rsidRPr="00B2274C">
        <w:rPr>
          <w:i/>
        </w:rPr>
        <w:t>after</w:t>
      </w:r>
      <w:r w:rsidRPr="00B2274C">
        <w:t xml:space="preserve"> the closing parenthesis].</w:t>
      </w:r>
    </w:p>
    <w:p w14:paraId="123DFF9D" w14:textId="77777777" w:rsidR="00536AD6" w:rsidRPr="00B2274C" w:rsidRDefault="00536AD6" w:rsidP="00536AD6">
      <w:pPr>
        <w:pStyle w:val="BodyText"/>
      </w:pPr>
    </w:p>
    <w:p w14:paraId="6F83F7E2" w14:textId="77777777" w:rsidR="00536AD6" w:rsidRPr="00B2274C" w:rsidRDefault="00536AD6" w:rsidP="00536AD6">
      <w:pPr>
        <w:pStyle w:val="BodyText"/>
        <w:jc w:val="center"/>
        <w:rPr>
          <w:b/>
        </w:rPr>
      </w:pPr>
      <w:r w:rsidRPr="00B2274C">
        <w:rPr>
          <w:b/>
        </w:rPr>
        <w:t>Works Cited</w:t>
      </w:r>
    </w:p>
    <w:p w14:paraId="34C98EBD" w14:textId="77777777" w:rsidR="00536AD6" w:rsidRPr="00B2274C" w:rsidRDefault="00536AD6" w:rsidP="00536AD6">
      <w:pPr>
        <w:pStyle w:val="BodyText"/>
      </w:pPr>
    </w:p>
    <w:p w14:paraId="3375C965" w14:textId="612B38A8" w:rsidR="00536AD6" w:rsidRPr="00B2274C" w:rsidRDefault="00536AD6" w:rsidP="00536AD6">
      <w:pPr>
        <w:pStyle w:val="BodyText"/>
        <w:ind w:left="720" w:hanging="720"/>
      </w:pPr>
      <w:r w:rsidRPr="00B2274C">
        <w:t xml:space="preserve">Dinnage, Rosemary.  Review of </w:t>
      </w:r>
      <w:r w:rsidRPr="00B2274C">
        <w:rPr>
          <w:i/>
        </w:rPr>
        <w:t xml:space="preserve">Shamans, Mystics and Doctors, </w:t>
      </w:r>
      <w:r w:rsidRPr="00B2274C">
        <w:t xml:space="preserve">by Sudhir Kakar. </w:t>
      </w:r>
      <w:r w:rsidRPr="00B2274C">
        <w:rPr>
          <w:i/>
        </w:rPr>
        <w:t>The New York Review of Books</w:t>
      </w:r>
      <w:r w:rsidR="00714CF3">
        <w:t xml:space="preserve"> 17 February 1983, p. </w:t>
      </w:r>
      <w:r w:rsidRPr="00B2274C">
        <w:t xml:space="preserve">15.  </w:t>
      </w:r>
    </w:p>
    <w:p w14:paraId="48BBEE46" w14:textId="77777777" w:rsidR="00536AD6" w:rsidRPr="00B2274C" w:rsidRDefault="00536AD6" w:rsidP="00536AD6">
      <w:pPr>
        <w:pStyle w:val="BodyText"/>
        <w:ind w:left="720" w:hanging="720"/>
      </w:pPr>
    </w:p>
    <w:p w14:paraId="6CBBADB8" w14:textId="7E951D9A" w:rsidR="00714CF3" w:rsidRPr="00B2274C" w:rsidRDefault="00714CF3" w:rsidP="00714CF3">
      <w:pPr>
        <w:pStyle w:val="BodyText"/>
        <w:ind w:left="720" w:hanging="720"/>
        <w:rPr>
          <w:rStyle w:val="owner"/>
        </w:rPr>
      </w:pPr>
      <w:r>
        <w:t xml:space="preserve">Doniger, Wendy, et al.  </w:t>
      </w:r>
      <w:r>
        <w:rPr>
          <w:rStyle w:val="owner"/>
          <w:b/>
        </w:rPr>
        <w:t>“</w:t>
      </w:r>
      <w:r w:rsidRPr="00B2274C">
        <w:rPr>
          <w:rStyle w:val="Strong"/>
          <w:b w:val="0"/>
        </w:rPr>
        <w:t>Hinduism</w:t>
      </w:r>
      <w:r w:rsidRPr="00B2274C">
        <w:rPr>
          <w:rStyle w:val="owner"/>
          <w:b/>
        </w:rPr>
        <w:t>.</w:t>
      </w:r>
      <w:r>
        <w:rPr>
          <w:rStyle w:val="owner"/>
          <w:b/>
        </w:rPr>
        <w:t>”</w:t>
      </w:r>
      <w:r w:rsidRPr="00B2274C">
        <w:rPr>
          <w:rStyle w:val="owner"/>
        </w:rPr>
        <w:t xml:space="preserve"> </w:t>
      </w:r>
      <w:r w:rsidRPr="00714CF3">
        <w:rPr>
          <w:rStyle w:val="owner"/>
          <w:i/>
        </w:rPr>
        <w:t>Encyclopædia Britannica.</w:t>
      </w:r>
      <w:r w:rsidRPr="00B2274C">
        <w:rPr>
          <w:rStyle w:val="owner"/>
        </w:rPr>
        <w:t xml:space="preserve"> </w:t>
      </w:r>
      <w:r>
        <w:rPr>
          <w:rStyle w:val="owner"/>
        </w:rPr>
        <w:t xml:space="preserve">14 January 2019, </w:t>
      </w:r>
      <w:hyperlink r:id="rId14" w:history="1">
        <w:r w:rsidR="008F392B" w:rsidRPr="00BB4005">
          <w:rPr>
            <w:rStyle w:val="Hyperlink"/>
          </w:rPr>
          <w:t>http://www.britannica.com/EBchecked/topic/266312/Hinduism</w:t>
        </w:r>
      </w:hyperlink>
      <w:r w:rsidRPr="00B2274C">
        <w:rPr>
          <w:rStyle w:val="owner"/>
        </w:rPr>
        <w:t xml:space="preserve">.  </w:t>
      </w:r>
      <w:r>
        <w:rPr>
          <w:rStyle w:val="owner"/>
        </w:rPr>
        <w:t>Accessed 21 January 2019.</w:t>
      </w:r>
    </w:p>
    <w:p w14:paraId="77045ABC" w14:textId="77777777" w:rsidR="00714CF3" w:rsidRDefault="00714CF3" w:rsidP="00536AD6">
      <w:pPr>
        <w:pStyle w:val="BodyText"/>
        <w:ind w:left="720" w:hanging="720"/>
      </w:pPr>
    </w:p>
    <w:p w14:paraId="565ADAC1" w14:textId="2FC121CC" w:rsidR="00536AD6" w:rsidRPr="00B2274C" w:rsidRDefault="00536AD6" w:rsidP="00714CF3">
      <w:pPr>
        <w:pStyle w:val="BodyText"/>
        <w:ind w:left="720" w:hanging="720"/>
      </w:pPr>
      <w:r w:rsidRPr="00B2274C">
        <w:t xml:space="preserve">Heesterman, J.C.  </w:t>
      </w:r>
      <w:r w:rsidRPr="00B2274C">
        <w:rPr>
          <w:i/>
        </w:rPr>
        <w:t>The Inner Conflict of Tradition: Essays in Indian Ritual, Kingship and Society</w:t>
      </w:r>
      <w:r w:rsidRPr="00B2274C">
        <w:t>. The Universi</w:t>
      </w:r>
      <w:r w:rsidR="00714CF3">
        <w:t>ty of Chicago P</w:t>
      </w:r>
      <w:r w:rsidRPr="00B2274C">
        <w:t xml:space="preserve">, 1985. </w:t>
      </w:r>
    </w:p>
    <w:p w14:paraId="33F710E6" w14:textId="77777777" w:rsidR="00536AD6" w:rsidRPr="00B2274C" w:rsidRDefault="00536AD6" w:rsidP="00536AD6">
      <w:pPr>
        <w:pStyle w:val="BodyText"/>
        <w:ind w:left="720" w:hanging="720"/>
        <w:rPr>
          <w:rStyle w:val="owner"/>
        </w:rPr>
      </w:pPr>
    </w:p>
    <w:p w14:paraId="2850151B" w14:textId="5DCDF6AF" w:rsidR="00536AD6" w:rsidRPr="00B2274C" w:rsidRDefault="00536AD6" w:rsidP="00536AD6">
      <w:pPr>
        <w:pStyle w:val="BodyText"/>
        <w:ind w:left="720" w:hanging="720"/>
      </w:pPr>
      <w:r w:rsidRPr="00B2274C">
        <w:t xml:space="preserve">Kakar, Sudhir.  </w:t>
      </w:r>
      <w:r w:rsidRPr="00B2274C">
        <w:rPr>
          <w:i/>
        </w:rPr>
        <w:t>Shamans, Mystics and Doctors: A Psychological Inquiry into India and Its Healing Traditions</w:t>
      </w:r>
      <w:r w:rsidRPr="00B2274C">
        <w:t xml:space="preserve">. </w:t>
      </w:r>
      <w:r w:rsidR="00714CF3">
        <w:t>The University of Chicago P</w:t>
      </w:r>
      <w:r w:rsidRPr="00B2274C">
        <w:t xml:space="preserve">, 1982. </w:t>
      </w:r>
    </w:p>
    <w:p w14:paraId="23468693" w14:textId="77777777" w:rsidR="00536AD6" w:rsidRPr="00B2274C" w:rsidRDefault="00536AD6" w:rsidP="00536AD6">
      <w:pPr>
        <w:pStyle w:val="BodyText"/>
        <w:ind w:left="720" w:hanging="720"/>
      </w:pPr>
    </w:p>
    <w:p w14:paraId="63A5801B" w14:textId="7FDAF762" w:rsidR="00536AD6" w:rsidRPr="00B2274C" w:rsidRDefault="00536AD6" w:rsidP="00536AD6">
      <w:pPr>
        <w:pStyle w:val="BodyText"/>
        <w:ind w:left="720" w:hanging="720"/>
      </w:pPr>
      <w:r w:rsidRPr="00B2274C">
        <w:t xml:space="preserve">_____. “Psychoanalysis and Religious Healing: Siblings or Strangers?”  </w:t>
      </w:r>
      <w:r w:rsidRPr="00B2274C">
        <w:rPr>
          <w:i/>
        </w:rPr>
        <w:t>Journal of the American Academy of Religion</w:t>
      </w:r>
      <w:r w:rsidRPr="00B2274C">
        <w:t xml:space="preserve">  </w:t>
      </w:r>
      <w:r w:rsidR="00714CF3">
        <w:t>Vol. 53, 1985, pp.</w:t>
      </w:r>
      <w:r w:rsidRPr="00B2274C">
        <w:t xml:space="preserve"> 841-53.</w:t>
      </w:r>
    </w:p>
    <w:p w14:paraId="5F306951" w14:textId="77777777" w:rsidR="00536AD6" w:rsidRPr="00B2274C" w:rsidRDefault="00536AD6" w:rsidP="00536AD6">
      <w:pPr>
        <w:pStyle w:val="BodyText"/>
        <w:ind w:left="720" w:hanging="720"/>
      </w:pPr>
    </w:p>
    <w:p w14:paraId="5F453CA3" w14:textId="417D7622" w:rsidR="00536AD6" w:rsidRPr="00B2274C" w:rsidRDefault="00536AD6" w:rsidP="00536AD6">
      <w:pPr>
        <w:ind w:left="720" w:hanging="720"/>
        <w:rPr>
          <w:sz w:val="22"/>
        </w:rPr>
      </w:pPr>
      <w:r w:rsidRPr="00B2274C">
        <w:rPr>
          <w:sz w:val="22"/>
        </w:rPr>
        <w:t xml:space="preserve">Miller, Barbara </w:t>
      </w:r>
      <w:proofErr w:type="spellStart"/>
      <w:r w:rsidRPr="00B2274C">
        <w:rPr>
          <w:sz w:val="22"/>
        </w:rPr>
        <w:t>Stoler</w:t>
      </w:r>
      <w:proofErr w:type="spellEnd"/>
      <w:r w:rsidRPr="00B2274C">
        <w:rPr>
          <w:sz w:val="22"/>
        </w:rPr>
        <w:t xml:space="preserve">.  </w:t>
      </w:r>
      <w:r w:rsidRPr="00B2274C">
        <w:rPr>
          <w:i/>
          <w:sz w:val="22"/>
        </w:rPr>
        <w:t xml:space="preserve">Yoga: Discipline of Freedom. </w:t>
      </w:r>
      <w:r w:rsidRPr="00B2274C">
        <w:rPr>
          <w:sz w:val="22"/>
        </w:rPr>
        <w:t xml:space="preserve">Bantam Books, 1986. </w:t>
      </w:r>
    </w:p>
    <w:p w14:paraId="7E342ED9" w14:textId="77777777" w:rsidR="00536AD6" w:rsidRPr="00B2274C" w:rsidRDefault="00536AD6" w:rsidP="00536AD6">
      <w:pPr>
        <w:ind w:left="720" w:hanging="720"/>
        <w:rPr>
          <w:sz w:val="22"/>
        </w:rPr>
      </w:pPr>
    </w:p>
    <w:p w14:paraId="2C464E61" w14:textId="0F7CE665" w:rsidR="00536AD6" w:rsidRPr="002D6157" w:rsidRDefault="00536AD6" w:rsidP="002D6157">
      <w:pPr>
        <w:pStyle w:val="BodyText"/>
        <w:ind w:left="720" w:hanging="720"/>
      </w:pPr>
      <w:r w:rsidRPr="00B2274C">
        <w:t xml:space="preserve">Smart, Ninian. “Soteriology: An Overview.”  </w:t>
      </w:r>
      <w:r w:rsidRPr="00B2274C">
        <w:rPr>
          <w:i/>
        </w:rPr>
        <w:t>Encyclopedia of Religion</w:t>
      </w:r>
      <w:r w:rsidRPr="00B2274C">
        <w:t xml:space="preserve">, ed. by Mircea Eliade. McMillan, 1987.   </w:t>
      </w:r>
    </w:p>
    <w:sectPr w:rsidR="00536AD6" w:rsidRPr="002D6157" w:rsidSect="00536AD6">
      <w:headerReference w:type="even" r:id="rId15"/>
      <w:headerReference w:type="default" r:id="rId16"/>
      <w:footerReference w:type="default" r:id="rId17"/>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519E" w14:textId="77777777" w:rsidR="005C39BA" w:rsidRDefault="005C39BA">
      <w:r>
        <w:separator/>
      </w:r>
    </w:p>
  </w:endnote>
  <w:endnote w:type="continuationSeparator" w:id="0">
    <w:p w14:paraId="058F8D40" w14:textId="77777777" w:rsidR="005C39BA" w:rsidRDefault="005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ode 2000">
    <w:altName w:val="Times New Roman"/>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CCDD" w14:textId="77777777" w:rsidR="007E2ACB" w:rsidRDefault="007E2ACB">
    <w:pPr>
      <w:pStyle w:val="Footer"/>
      <w:widowControl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CE26" w14:textId="77777777" w:rsidR="005C39BA" w:rsidRDefault="005C39BA">
      <w:r>
        <w:separator/>
      </w:r>
    </w:p>
  </w:footnote>
  <w:footnote w:type="continuationSeparator" w:id="0">
    <w:p w14:paraId="6F40708E" w14:textId="77777777" w:rsidR="005C39BA" w:rsidRDefault="005C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238E" w14:textId="77777777" w:rsidR="007E2ACB" w:rsidRDefault="007E2ACB" w:rsidP="00536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CE637" w14:textId="77777777" w:rsidR="007E2ACB" w:rsidRDefault="007E2ACB" w:rsidP="00536A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0F56" w14:textId="77777777" w:rsidR="007E2ACB" w:rsidRDefault="007E2ACB" w:rsidP="00536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0DE">
      <w:rPr>
        <w:rStyle w:val="PageNumber"/>
        <w:noProof/>
      </w:rPr>
      <w:t>2</w:t>
    </w:r>
    <w:r>
      <w:rPr>
        <w:rStyle w:val="PageNumber"/>
      </w:rPr>
      <w:fldChar w:fldCharType="end"/>
    </w:r>
  </w:p>
  <w:p w14:paraId="2783430B" w14:textId="77777777" w:rsidR="007E2ACB" w:rsidRDefault="007E2ACB" w:rsidP="00536A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753151"/>
    <w:multiLevelType w:val="hybridMultilevel"/>
    <w:tmpl w:val="7B84F7D2"/>
    <w:lvl w:ilvl="0" w:tplc="34D08082">
      <w:start w:val="3"/>
      <w:numFmt w:val="decimal"/>
      <w:lvlText w:val="%1."/>
      <w:lvlJc w:val="left"/>
      <w:pPr>
        <w:tabs>
          <w:tab w:val="num" w:pos="720"/>
        </w:tabs>
        <w:ind w:left="720" w:hanging="360"/>
      </w:pPr>
      <w:rPr>
        <w:rFonts w:hint="default"/>
      </w:rPr>
    </w:lvl>
    <w:lvl w:ilvl="1" w:tplc="67EEB044" w:tentative="1">
      <w:start w:val="1"/>
      <w:numFmt w:val="lowerLetter"/>
      <w:lvlText w:val="%2."/>
      <w:lvlJc w:val="left"/>
      <w:pPr>
        <w:tabs>
          <w:tab w:val="num" w:pos="1440"/>
        </w:tabs>
        <w:ind w:left="1440" w:hanging="360"/>
      </w:pPr>
    </w:lvl>
    <w:lvl w:ilvl="2" w:tplc="D2C8F4FA" w:tentative="1">
      <w:start w:val="1"/>
      <w:numFmt w:val="lowerRoman"/>
      <w:lvlText w:val="%3."/>
      <w:lvlJc w:val="right"/>
      <w:pPr>
        <w:tabs>
          <w:tab w:val="num" w:pos="2160"/>
        </w:tabs>
        <w:ind w:left="2160" w:hanging="180"/>
      </w:pPr>
    </w:lvl>
    <w:lvl w:ilvl="3" w:tplc="9D8A486E" w:tentative="1">
      <w:start w:val="1"/>
      <w:numFmt w:val="decimal"/>
      <w:lvlText w:val="%4."/>
      <w:lvlJc w:val="left"/>
      <w:pPr>
        <w:tabs>
          <w:tab w:val="num" w:pos="2880"/>
        </w:tabs>
        <w:ind w:left="2880" w:hanging="360"/>
      </w:pPr>
    </w:lvl>
    <w:lvl w:ilvl="4" w:tplc="FE8A9D38" w:tentative="1">
      <w:start w:val="1"/>
      <w:numFmt w:val="lowerLetter"/>
      <w:lvlText w:val="%5."/>
      <w:lvlJc w:val="left"/>
      <w:pPr>
        <w:tabs>
          <w:tab w:val="num" w:pos="3600"/>
        </w:tabs>
        <w:ind w:left="3600" w:hanging="360"/>
      </w:pPr>
    </w:lvl>
    <w:lvl w:ilvl="5" w:tplc="01BCD5DE" w:tentative="1">
      <w:start w:val="1"/>
      <w:numFmt w:val="lowerRoman"/>
      <w:lvlText w:val="%6."/>
      <w:lvlJc w:val="right"/>
      <w:pPr>
        <w:tabs>
          <w:tab w:val="num" w:pos="4320"/>
        </w:tabs>
        <w:ind w:left="4320" w:hanging="180"/>
      </w:pPr>
    </w:lvl>
    <w:lvl w:ilvl="6" w:tplc="542EF098" w:tentative="1">
      <w:start w:val="1"/>
      <w:numFmt w:val="decimal"/>
      <w:lvlText w:val="%7."/>
      <w:lvlJc w:val="left"/>
      <w:pPr>
        <w:tabs>
          <w:tab w:val="num" w:pos="5040"/>
        </w:tabs>
        <w:ind w:left="5040" w:hanging="360"/>
      </w:pPr>
    </w:lvl>
    <w:lvl w:ilvl="7" w:tplc="BB4A980E" w:tentative="1">
      <w:start w:val="1"/>
      <w:numFmt w:val="lowerLetter"/>
      <w:lvlText w:val="%8."/>
      <w:lvlJc w:val="left"/>
      <w:pPr>
        <w:tabs>
          <w:tab w:val="num" w:pos="5760"/>
        </w:tabs>
        <w:ind w:left="5760" w:hanging="360"/>
      </w:pPr>
    </w:lvl>
    <w:lvl w:ilvl="8" w:tplc="CAB889FC" w:tentative="1">
      <w:start w:val="1"/>
      <w:numFmt w:val="lowerRoman"/>
      <w:lvlText w:val="%9."/>
      <w:lvlJc w:val="right"/>
      <w:pPr>
        <w:tabs>
          <w:tab w:val="num" w:pos="6480"/>
        </w:tabs>
        <w:ind w:left="6480" w:hanging="180"/>
      </w:pPr>
    </w:lvl>
  </w:abstractNum>
  <w:abstractNum w:abstractNumId="3" w15:restartNumberingAfterBreak="0">
    <w:nsid w:val="07200E5A"/>
    <w:multiLevelType w:val="multilevel"/>
    <w:tmpl w:val="A54CE50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196D2C"/>
    <w:multiLevelType w:val="hybridMultilevel"/>
    <w:tmpl w:val="9176EE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86F"/>
    <w:multiLevelType w:val="hybridMultilevel"/>
    <w:tmpl w:val="D25A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936F2"/>
    <w:multiLevelType w:val="hybridMultilevel"/>
    <w:tmpl w:val="5052E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9001F"/>
    <w:multiLevelType w:val="hybridMultilevel"/>
    <w:tmpl w:val="B09C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1B9B"/>
    <w:multiLevelType w:val="hybridMultilevel"/>
    <w:tmpl w:val="84DA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C0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9C4190"/>
    <w:multiLevelType w:val="hybridMultilevel"/>
    <w:tmpl w:val="E05847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029D7"/>
    <w:multiLevelType w:val="hybridMultilevel"/>
    <w:tmpl w:val="93022C78"/>
    <w:lvl w:ilvl="0" w:tplc="CC442E7C">
      <w:start w:val="1"/>
      <w:numFmt w:val="bullet"/>
      <w:lvlText w:val=""/>
      <w:lvlJc w:val="left"/>
      <w:pPr>
        <w:tabs>
          <w:tab w:val="num" w:pos="1368"/>
        </w:tabs>
        <w:ind w:left="1368" w:hanging="288"/>
      </w:pPr>
      <w:rPr>
        <w:rFonts w:ascii="Symbol" w:hAnsi="Symbol" w:hint="default"/>
        <w:color w:val="auto"/>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64A8F"/>
    <w:multiLevelType w:val="hybridMultilevel"/>
    <w:tmpl w:val="444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074D"/>
    <w:multiLevelType w:val="hybridMultilevel"/>
    <w:tmpl w:val="12A0EE0E"/>
    <w:lvl w:ilvl="0" w:tplc="003428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837646"/>
    <w:multiLevelType w:val="hybridMultilevel"/>
    <w:tmpl w:val="4A48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6D6D"/>
    <w:multiLevelType w:val="hybridMultilevel"/>
    <w:tmpl w:val="914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C4AC1"/>
    <w:multiLevelType w:val="hybridMultilevel"/>
    <w:tmpl w:val="39DE8320"/>
    <w:lvl w:ilvl="0" w:tplc="020CD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45CAA"/>
    <w:multiLevelType w:val="hybridMultilevel"/>
    <w:tmpl w:val="5E30B0BE"/>
    <w:lvl w:ilvl="0" w:tplc="AF7A76C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4034F"/>
    <w:multiLevelType w:val="hybridMultilevel"/>
    <w:tmpl w:val="2F94960A"/>
    <w:lvl w:ilvl="0" w:tplc="CC442E7C">
      <w:start w:val="1"/>
      <w:numFmt w:val="bullet"/>
      <w:lvlText w:val=""/>
      <w:lvlJc w:val="left"/>
      <w:pPr>
        <w:tabs>
          <w:tab w:val="num" w:pos="1368"/>
        </w:tabs>
        <w:ind w:left="1368" w:hanging="288"/>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6010E"/>
    <w:multiLevelType w:val="hybridMultilevel"/>
    <w:tmpl w:val="27AA28A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48944B9"/>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B3D9B"/>
    <w:multiLevelType w:val="hybridMultilevel"/>
    <w:tmpl w:val="1212BDE2"/>
    <w:lvl w:ilvl="0" w:tplc="C01C7CA4">
      <w:start w:val="3"/>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92F7C27"/>
    <w:multiLevelType w:val="hybridMultilevel"/>
    <w:tmpl w:val="C71CF7E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AD9395A"/>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B3185"/>
    <w:multiLevelType w:val="hybridMultilevel"/>
    <w:tmpl w:val="BAE8DA2A"/>
    <w:lvl w:ilvl="0" w:tplc="1408F364">
      <w:start w:val="3"/>
      <w:numFmt w:val="decimal"/>
      <w:lvlText w:val="%1."/>
      <w:lvlJc w:val="left"/>
      <w:pPr>
        <w:tabs>
          <w:tab w:val="num" w:pos="720"/>
        </w:tabs>
        <w:ind w:left="720" w:hanging="360"/>
      </w:pPr>
      <w:rPr>
        <w:rFonts w:hint="default"/>
        <w:u w:val="single"/>
      </w:rPr>
    </w:lvl>
    <w:lvl w:ilvl="1" w:tplc="E4344F48" w:tentative="1">
      <w:start w:val="1"/>
      <w:numFmt w:val="lowerLetter"/>
      <w:lvlText w:val="%2."/>
      <w:lvlJc w:val="left"/>
      <w:pPr>
        <w:tabs>
          <w:tab w:val="num" w:pos="1440"/>
        </w:tabs>
        <w:ind w:left="1440" w:hanging="360"/>
      </w:pPr>
    </w:lvl>
    <w:lvl w:ilvl="2" w:tplc="E7BEE14A" w:tentative="1">
      <w:start w:val="1"/>
      <w:numFmt w:val="lowerRoman"/>
      <w:lvlText w:val="%3."/>
      <w:lvlJc w:val="right"/>
      <w:pPr>
        <w:tabs>
          <w:tab w:val="num" w:pos="2160"/>
        </w:tabs>
        <w:ind w:left="2160" w:hanging="180"/>
      </w:pPr>
    </w:lvl>
    <w:lvl w:ilvl="3" w:tplc="922E77EA" w:tentative="1">
      <w:start w:val="1"/>
      <w:numFmt w:val="decimal"/>
      <w:lvlText w:val="%4."/>
      <w:lvlJc w:val="left"/>
      <w:pPr>
        <w:tabs>
          <w:tab w:val="num" w:pos="2880"/>
        </w:tabs>
        <w:ind w:left="2880" w:hanging="360"/>
      </w:pPr>
    </w:lvl>
    <w:lvl w:ilvl="4" w:tplc="CC50C4A4" w:tentative="1">
      <w:start w:val="1"/>
      <w:numFmt w:val="lowerLetter"/>
      <w:lvlText w:val="%5."/>
      <w:lvlJc w:val="left"/>
      <w:pPr>
        <w:tabs>
          <w:tab w:val="num" w:pos="3600"/>
        </w:tabs>
        <w:ind w:left="3600" w:hanging="360"/>
      </w:pPr>
    </w:lvl>
    <w:lvl w:ilvl="5" w:tplc="516C0712" w:tentative="1">
      <w:start w:val="1"/>
      <w:numFmt w:val="lowerRoman"/>
      <w:lvlText w:val="%6."/>
      <w:lvlJc w:val="right"/>
      <w:pPr>
        <w:tabs>
          <w:tab w:val="num" w:pos="4320"/>
        </w:tabs>
        <w:ind w:left="4320" w:hanging="180"/>
      </w:pPr>
    </w:lvl>
    <w:lvl w:ilvl="6" w:tplc="B570191C" w:tentative="1">
      <w:start w:val="1"/>
      <w:numFmt w:val="decimal"/>
      <w:lvlText w:val="%7."/>
      <w:lvlJc w:val="left"/>
      <w:pPr>
        <w:tabs>
          <w:tab w:val="num" w:pos="5040"/>
        </w:tabs>
        <w:ind w:left="5040" w:hanging="360"/>
      </w:pPr>
    </w:lvl>
    <w:lvl w:ilvl="7" w:tplc="9BA6A888" w:tentative="1">
      <w:start w:val="1"/>
      <w:numFmt w:val="lowerLetter"/>
      <w:lvlText w:val="%8."/>
      <w:lvlJc w:val="left"/>
      <w:pPr>
        <w:tabs>
          <w:tab w:val="num" w:pos="5760"/>
        </w:tabs>
        <w:ind w:left="5760" w:hanging="360"/>
      </w:pPr>
    </w:lvl>
    <w:lvl w:ilvl="8" w:tplc="03DA269E" w:tentative="1">
      <w:start w:val="1"/>
      <w:numFmt w:val="lowerRoman"/>
      <w:lvlText w:val="%9."/>
      <w:lvlJc w:val="right"/>
      <w:pPr>
        <w:tabs>
          <w:tab w:val="num" w:pos="6480"/>
        </w:tabs>
        <w:ind w:left="6480" w:hanging="180"/>
      </w:pPr>
    </w:lvl>
  </w:abstractNum>
  <w:abstractNum w:abstractNumId="25" w15:restartNumberingAfterBreak="0">
    <w:nsid w:val="7E8E53F0"/>
    <w:multiLevelType w:val="hybridMultilevel"/>
    <w:tmpl w:val="E640C2F6"/>
    <w:lvl w:ilvl="0" w:tplc="A4B2C6DE">
      <w:start w:val="1"/>
      <w:numFmt w:val="decimal"/>
      <w:lvlText w:val="%1."/>
      <w:lvlJc w:val="left"/>
      <w:pPr>
        <w:tabs>
          <w:tab w:val="num" w:pos="720"/>
        </w:tabs>
        <w:ind w:left="720" w:hanging="360"/>
      </w:pPr>
    </w:lvl>
    <w:lvl w:ilvl="1" w:tplc="CA58346C" w:tentative="1">
      <w:start w:val="1"/>
      <w:numFmt w:val="decimal"/>
      <w:lvlText w:val="%2."/>
      <w:lvlJc w:val="left"/>
      <w:pPr>
        <w:tabs>
          <w:tab w:val="num" w:pos="1440"/>
        </w:tabs>
        <w:ind w:left="1440" w:hanging="360"/>
      </w:pPr>
    </w:lvl>
    <w:lvl w:ilvl="2" w:tplc="86166CDC" w:tentative="1">
      <w:start w:val="1"/>
      <w:numFmt w:val="decimal"/>
      <w:lvlText w:val="%3."/>
      <w:lvlJc w:val="left"/>
      <w:pPr>
        <w:tabs>
          <w:tab w:val="num" w:pos="2160"/>
        </w:tabs>
        <w:ind w:left="2160" w:hanging="360"/>
      </w:pPr>
    </w:lvl>
    <w:lvl w:ilvl="3" w:tplc="D5E6833A" w:tentative="1">
      <w:start w:val="1"/>
      <w:numFmt w:val="decimal"/>
      <w:lvlText w:val="%4."/>
      <w:lvlJc w:val="left"/>
      <w:pPr>
        <w:tabs>
          <w:tab w:val="num" w:pos="2880"/>
        </w:tabs>
        <w:ind w:left="2880" w:hanging="360"/>
      </w:pPr>
    </w:lvl>
    <w:lvl w:ilvl="4" w:tplc="B3A8A07C" w:tentative="1">
      <w:start w:val="1"/>
      <w:numFmt w:val="decimal"/>
      <w:lvlText w:val="%5."/>
      <w:lvlJc w:val="left"/>
      <w:pPr>
        <w:tabs>
          <w:tab w:val="num" w:pos="3600"/>
        </w:tabs>
        <w:ind w:left="3600" w:hanging="360"/>
      </w:pPr>
    </w:lvl>
    <w:lvl w:ilvl="5" w:tplc="49383C00" w:tentative="1">
      <w:start w:val="1"/>
      <w:numFmt w:val="decimal"/>
      <w:lvlText w:val="%6."/>
      <w:lvlJc w:val="left"/>
      <w:pPr>
        <w:tabs>
          <w:tab w:val="num" w:pos="4320"/>
        </w:tabs>
        <w:ind w:left="4320" w:hanging="360"/>
      </w:pPr>
    </w:lvl>
    <w:lvl w:ilvl="6" w:tplc="4FA60172" w:tentative="1">
      <w:start w:val="1"/>
      <w:numFmt w:val="decimal"/>
      <w:lvlText w:val="%7."/>
      <w:lvlJc w:val="left"/>
      <w:pPr>
        <w:tabs>
          <w:tab w:val="num" w:pos="5040"/>
        </w:tabs>
        <w:ind w:left="5040" w:hanging="360"/>
      </w:pPr>
    </w:lvl>
    <w:lvl w:ilvl="7" w:tplc="D848CC8E" w:tentative="1">
      <w:start w:val="1"/>
      <w:numFmt w:val="decimal"/>
      <w:lvlText w:val="%8."/>
      <w:lvlJc w:val="left"/>
      <w:pPr>
        <w:tabs>
          <w:tab w:val="num" w:pos="5760"/>
        </w:tabs>
        <w:ind w:left="5760" w:hanging="360"/>
      </w:pPr>
    </w:lvl>
    <w:lvl w:ilvl="8" w:tplc="F820ACF0"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 w:numId="3">
    <w:abstractNumId w:val="25"/>
  </w:num>
  <w:num w:numId="4">
    <w:abstractNumId w:val="24"/>
  </w:num>
  <w:num w:numId="5">
    <w:abstractNumId w:val="2"/>
  </w:num>
  <w:num w:numId="6">
    <w:abstractNumId w:val="22"/>
  </w:num>
  <w:num w:numId="7">
    <w:abstractNumId w:val="12"/>
  </w:num>
  <w:num w:numId="8">
    <w:abstractNumId w:val="17"/>
  </w:num>
  <w:num w:numId="9">
    <w:abstractNumId w:val="23"/>
  </w:num>
  <w:num w:numId="10">
    <w:abstractNumId w:val="20"/>
  </w:num>
  <w:num w:numId="11">
    <w:abstractNumId w:val="13"/>
  </w:num>
  <w:num w:numId="12">
    <w:abstractNumId w:val="3"/>
  </w:num>
  <w:num w:numId="13">
    <w:abstractNumId w:val="14"/>
  </w:num>
  <w:num w:numId="14">
    <w:abstractNumId w:val="5"/>
  </w:num>
  <w:num w:numId="15">
    <w:abstractNumId w:val="18"/>
  </w:num>
  <w:num w:numId="16">
    <w:abstractNumId w:val="4"/>
  </w:num>
  <w:num w:numId="17">
    <w:abstractNumId w:val="11"/>
  </w:num>
  <w:num w:numId="18">
    <w:abstractNumId w:val="19"/>
  </w:num>
  <w:num w:numId="19">
    <w:abstractNumId w:val="6"/>
  </w:num>
  <w:num w:numId="20">
    <w:abstractNumId w:val="10"/>
  </w:num>
  <w:num w:numId="21">
    <w:abstractNumId w:val="8"/>
  </w:num>
  <w:num w:numId="22">
    <w:abstractNumId w:val="16"/>
  </w:num>
  <w:num w:numId="23">
    <w:abstractNumId w:val="15"/>
  </w:num>
  <w:num w:numId="24">
    <w:abstractNumId w:val="7"/>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2"/>
    <w:rsid w:val="00002D82"/>
    <w:rsid w:val="00016502"/>
    <w:rsid w:val="000219B1"/>
    <w:rsid w:val="00031361"/>
    <w:rsid w:val="00046E8C"/>
    <w:rsid w:val="00055747"/>
    <w:rsid w:val="00057C77"/>
    <w:rsid w:val="000964A5"/>
    <w:rsid w:val="000C4EE2"/>
    <w:rsid w:val="001055FF"/>
    <w:rsid w:val="00112461"/>
    <w:rsid w:val="00113189"/>
    <w:rsid w:val="001235FC"/>
    <w:rsid w:val="00124E5E"/>
    <w:rsid w:val="0013749F"/>
    <w:rsid w:val="001633BC"/>
    <w:rsid w:val="00163E79"/>
    <w:rsid w:val="00203283"/>
    <w:rsid w:val="00203B6E"/>
    <w:rsid w:val="00217F66"/>
    <w:rsid w:val="00231147"/>
    <w:rsid w:val="00231F7A"/>
    <w:rsid w:val="00277C0A"/>
    <w:rsid w:val="00295FAD"/>
    <w:rsid w:val="002B4E0F"/>
    <w:rsid w:val="002D6157"/>
    <w:rsid w:val="0035544D"/>
    <w:rsid w:val="00375ACE"/>
    <w:rsid w:val="003A2F5D"/>
    <w:rsid w:val="003B52FC"/>
    <w:rsid w:val="003C4874"/>
    <w:rsid w:val="00416C1F"/>
    <w:rsid w:val="00424E48"/>
    <w:rsid w:val="0045527D"/>
    <w:rsid w:val="00457E4F"/>
    <w:rsid w:val="004718CD"/>
    <w:rsid w:val="0047495D"/>
    <w:rsid w:val="004808C3"/>
    <w:rsid w:val="00491766"/>
    <w:rsid w:val="004D6012"/>
    <w:rsid w:val="004E3AD2"/>
    <w:rsid w:val="004F7303"/>
    <w:rsid w:val="0050068E"/>
    <w:rsid w:val="005231B1"/>
    <w:rsid w:val="00523F9C"/>
    <w:rsid w:val="00536AD6"/>
    <w:rsid w:val="005404A5"/>
    <w:rsid w:val="00544679"/>
    <w:rsid w:val="00545267"/>
    <w:rsid w:val="00591B8C"/>
    <w:rsid w:val="00597E60"/>
    <w:rsid w:val="005A06EA"/>
    <w:rsid w:val="005C39BA"/>
    <w:rsid w:val="005D1F40"/>
    <w:rsid w:val="005D5771"/>
    <w:rsid w:val="00610C6D"/>
    <w:rsid w:val="00621F50"/>
    <w:rsid w:val="00651FB1"/>
    <w:rsid w:val="006531DD"/>
    <w:rsid w:val="00671951"/>
    <w:rsid w:val="0068274B"/>
    <w:rsid w:val="0068315E"/>
    <w:rsid w:val="006960F3"/>
    <w:rsid w:val="006A544F"/>
    <w:rsid w:val="006A64F4"/>
    <w:rsid w:val="006C54A2"/>
    <w:rsid w:val="00711A67"/>
    <w:rsid w:val="00711C39"/>
    <w:rsid w:val="00714CD4"/>
    <w:rsid w:val="00714CF3"/>
    <w:rsid w:val="00722337"/>
    <w:rsid w:val="007343D3"/>
    <w:rsid w:val="00782A10"/>
    <w:rsid w:val="00792429"/>
    <w:rsid w:val="007A2AE8"/>
    <w:rsid w:val="007B6A60"/>
    <w:rsid w:val="007D3A10"/>
    <w:rsid w:val="007E2ACB"/>
    <w:rsid w:val="00806091"/>
    <w:rsid w:val="008240FF"/>
    <w:rsid w:val="008379A3"/>
    <w:rsid w:val="008538B6"/>
    <w:rsid w:val="00872828"/>
    <w:rsid w:val="008741DD"/>
    <w:rsid w:val="0088618A"/>
    <w:rsid w:val="008B75E5"/>
    <w:rsid w:val="008F392B"/>
    <w:rsid w:val="0090045E"/>
    <w:rsid w:val="009060CB"/>
    <w:rsid w:val="00917AEB"/>
    <w:rsid w:val="00927E92"/>
    <w:rsid w:val="00943ADE"/>
    <w:rsid w:val="009502C1"/>
    <w:rsid w:val="00991B04"/>
    <w:rsid w:val="0099722E"/>
    <w:rsid w:val="009E0ADE"/>
    <w:rsid w:val="00A77FA3"/>
    <w:rsid w:val="00AA1F1D"/>
    <w:rsid w:val="00AB35E6"/>
    <w:rsid w:val="00AB40CC"/>
    <w:rsid w:val="00AD4EAA"/>
    <w:rsid w:val="00AF31C3"/>
    <w:rsid w:val="00B2274C"/>
    <w:rsid w:val="00B30FA0"/>
    <w:rsid w:val="00B31D68"/>
    <w:rsid w:val="00B373BB"/>
    <w:rsid w:val="00B42608"/>
    <w:rsid w:val="00B448CA"/>
    <w:rsid w:val="00B518DB"/>
    <w:rsid w:val="00B82679"/>
    <w:rsid w:val="00BA2547"/>
    <w:rsid w:val="00BD0BAA"/>
    <w:rsid w:val="00BE0FFB"/>
    <w:rsid w:val="00BE288F"/>
    <w:rsid w:val="00C010B1"/>
    <w:rsid w:val="00C013FC"/>
    <w:rsid w:val="00C27FC5"/>
    <w:rsid w:val="00C47BA0"/>
    <w:rsid w:val="00C56BD6"/>
    <w:rsid w:val="00C65343"/>
    <w:rsid w:val="00CB3AD8"/>
    <w:rsid w:val="00CC62DD"/>
    <w:rsid w:val="00CD6B20"/>
    <w:rsid w:val="00CE731D"/>
    <w:rsid w:val="00D01A04"/>
    <w:rsid w:val="00D27C43"/>
    <w:rsid w:val="00D32D6F"/>
    <w:rsid w:val="00D347E3"/>
    <w:rsid w:val="00D42100"/>
    <w:rsid w:val="00D442E2"/>
    <w:rsid w:val="00D62E88"/>
    <w:rsid w:val="00D708C0"/>
    <w:rsid w:val="00D7363D"/>
    <w:rsid w:val="00D860A5"/>
    <w:rsid w:val="00DA2920"/>
    <w:rsid w:val="00DA69FD"/>
    <w:rsid w:val="00DC79A5"/>
    <w:rsid w:val="00DD2462"/>
    <w:rsid w:val="00DD7E82"/>
    <w:rsid w:val="00DE1136"/>
    <w:rsid w:val="00DF6DC1"/>
    <w:rsid w:val="00E15D22"/>
    <w:rsid w:val="00E247AD"/>
    <w:rsid w:val="00E40275"/>
    <w:rsid w:val="00E50B71"/>
    <w:rsid w:val="00E57E5D"/>
    <w:rsid w:val="00E6347A"/>
    <w:rsid w:val="00E67016"/>
    <w:rsid w:val="00E95501"/>
    <w:rsid w:val="00EA50DE"/>
    <w:rsid w:val="00EB644F"/>
    <w:rsid w:val="00EB722D"/>
    <w:rsid w:val="00ED1AF2"/>
    <w:rsid w:val="00F24F04"/>
    <w:rsid w:val="00F437D8"/>
    <w:rsid w:val="00F55454"/>
    <w:rsid w:val="00F83EF3"/>
    <w:rsid w:val="00F86017"/>
    <w:rsid w:val="00F910CD"/>
    <w:rsid w:val="00FA0294"/>
    <w:rsid w:val="00FD5A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063ADC"/>
  <w14:defaultImageDpi w14:val="300"/>
  <w15:docId w15:val="{DA40010C-5E70-BE44-BAD6-C9B9214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016"/>
    <w:rPr>
      <w:sz w:val="24"/>
      <w:szCs w:val="24"/>
      <w:lang w:eastAsia="zh-CN"/>
    </w:rPr>
  </w:style>
  <w:style w:type="paragraph" w:styleId="Heading1">
    <w:name w:val="heading 1"/>
    <w:basedOn w:val="Normal"/>
    <w:next w:val="Normal"/>
    <w:link w:val="Heading1Char"/>
    <w:qFormat/>
    <w:pPr>
      <w:keepNext/>
      <w:autoSpaceDE w:val="0"/>
      <w:autoSpaceDN w:val="0"/>
      <w:outlineLvl w:val="0"/>
    </w:pPr>
    <w:rPr>
      <w:rFonts w:ascii="Times" w:hAnsi="Times"/>
      <w:b/>
      <w:szCs w:val="20"/>
      <w:lang w:val="x-none" w:eastAsia="x-none"/>
    </w:rPr>
  </w:style>
  <w:style w:type="paragraph" w:styleId="Heading2">
    <w:name w:val="heading 2"/>
    <w:basedOn w:val="Normal"/>
    <w:next w:val="Normal"/>
    <w:qFormat/>
    <w:pPr>
      <w:keepNext/>
      <w:autoSpaceDE w:val="0"/>
      <w:autoSpaceDN w:val="0"/>
      <w:outlineLvl w:val="1"/>
    </w:pPr>
    <w:rPr>
      <w:rFonts w:ascii="Times" w:hAnsi="Times"/>
      <w:i/>
      <w:szCs w:val="20"/>
      <w:lang w:eastAsia="en-US"/>
    </w:rPr>
  </w:style>
  <w:style w:type="paragraph" w:styleId="Heading3">
    <w:name w:val="heading 3"/>
    <w:basedOn w:val="Normal"/>
    <w:next w:val="Normal"/>
    <w:qFormat/>
    <w:pPr>
      <w:keepNext/>
      <w:autoSpaceDE w:val="0"/>
      <w:autoSpaceDN w:val="0"/>
      <w:ind w:firstLine="720"/>
      <w:outlineLvl w:val="2"/>
    </w:pPr>
    <w:rPr>
      <w:rFonts w:ascii="Times" w:hAnsi="Times"/>
      <w:b/>
      <w:szCs w:val="20"/>
      <w:lang w:eastAsia="en-US"/>
    </w:rPr>
  </w:style>
  <w:style w:type="paragraph" w:styleId="Heading4">
    <w:name w:val="heading 4"/>
    <w:basedOn w:val="Normal"/>
    <w:next w:val="Normal"/>
    <w:qFormat/>
    <w:pPr>
      <w:keepNext/>
      <w:autoSpaceDE w:val="0"/>
      <w:autoSpaceDN w:val="0"/>
      <w:outlineLvl w:val="3"/>
    </w:pPr>
    <w:rPr>
      <w:rFonts w:ascii="Times" w:hAnsi="Times"/>
      <w:sz w:val="22"/>
      <w:szCs w:val="20"/>
      <w:u w:val="single"/>
      <w:lang w:eastAsia="en-US"/>
    </w:rPr>
  </w:style>
  <w:style w:type="paragraph" w:styleId="Heading5">
    <w:name w:val="heading 5"/>
    <w:basedOn w:val="Normal"/>
    <w:next w:val="Normal"/>
    <w:qFormat/>
    <w:pPr>
      <w:keepNext/>
      <w:autoSpaceDE w:val="0"/>
      <w:autoSpaceDN w:val="0"/>
      <w:ind w:firstLine="720"/>
      <w:outlineLvl w:val="4"/>
    </w:pPr>
    <w:rPr>
      <w:rFonts w:ascii="Times" w:hAnsi="Times"/>
      <w:b/>
      <w:sz w:val="22"/>
      <w:szCs w:val="20"/>
      <w:lang w:eastAsia="en-US"/>
    </w:rPr>
  </w:style>
  <w:style w:type="paragraph" w:styleId="Heading6">
    <w:name w:val="heading 6"/>
    <w:basedOn w:val="Normal"/>
    <w:next w:val="Normal"/>
    <w:qFormat/>
    <w:pPr>
      <w:keepNext/>
      <w:autoSpaceDE w:val="0"/>
      <w:autoSpaceDN w:val="0"/>
      <w:outlineLvl w:val="5"/>
    </w:pPr>
    <w:rPr>
      <w:rFonts w:ascii="Times" w:hAnsi="Time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pPr>
      <w:tabs>
        <w:tab w:val="center" w:pos="4320"/>
        <w:tab w:val="right" w:pos="8640"/>
      </w:tabs>
      <w:autoSpaceDE w:val="0"/>
      <w:autoSpaceDN w:val="0"/>
    </w:pPr>
    <w:rPr>
      <w:rFonts w:ascii="Times" w:hAnsi="Times"/>
      <w:szCs w:val="20"/>
      <w:lang w:eastAsia="en-US"/>
    </w:rPr>
  </w:style>
  <w:style w:type="paragraph" w:styleId="BodyTextIndent2">
    <w:name w:val="Body Text Indent 2"/>
    <w:basedOn w:val="Normal"/>
    <w:pPr>
      <w:autoSpaceDE w:val="0"/>
      <w:autoSpaceDN w:val="0"/>
      <w:ind w:left="360"/>
    </w:pPr>
    <w:rPr>
      <w:rFonts w:ascii="Times" w:hAnsi="Times"/>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00"/>
      <w:szCs w:val="20"/>
      <w:lang w:eastAsia="en-US"/>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pPr>
    <w:rPr>
      <w:sz w:val="22"/>
      <w:szCs w:val="20"/>
      <w:lang w:val="x-none" w:eastAsia="x-none"/>
    </w:rPr>
  </w:style>
  <w:style w:type="paragraph" w:styleId="BalloonText">
    <w:name w:val="Balloon Text"/>
    <w:basedOn w:val="Normal"/>
    <w:semiHidden/>
    <w:pPr>
      <w:autoSpaceDE w:val="0"/>
      <w:autoSpaceDN w:val="0"/>
    </w:pPr>
    <w:rPr>
      <w:rFonts w:ascii="Tahoma" w:hAnsi="Tahoma"/>
      <w:sz w:val="16"/>
      <w:szCs w:val="20"/>
      <w:lang w:eastAsia="en-US"/>
    </w:rPr>
  </w:style>
  <w:style w:type="paragraph" w:styleId="BodyText2">
    <w:name w:val="Body Text 2"/>
    <w:basedOn w:val="Normal"/>
    <w:pPr>
      <w:autoSpaceDE w:val="0"/>
      <w:autoSpaceDN w:val="0"/>
    </w:pPr>
    <w:rPr>
      <w:rFonts w:ascii="Times" w:hAnsi="Times"/>
      <w:b/>
      <w:szCs w:val="20"/>
      <w:lang w:eastAsia="en-US"/>
    </w:rPr>
  </w:style>
  <w:style w:type="paragraph" w:styleId="DocumentMap">
    <w:name w:val="Document Map"/>
    <w:basedOn w:val="Normal"/>
    <w:pPr>
      <w:shd w:val="clear" w:color="auto" w:fill="000080"/>
      <w:autoSpaceDE w:val="0"/>
      <w:autoSpaceDN w:val="0"/>
    </w:pPr>
    <w:rPr>
      <w:rFonts w:ascii="Geneva" w:hAnsi="Geneva"/>
      <w:szCs w:val="20"/>
      <w:lang w:eastAsia="en-US"/>
    </w:rPr>
  </w:style>
  <w:style w:type="character" w:styleId="PageNumber">
    <w:name w:val="page number"/>
    <w:basedOn w:val="DefaultParagraphFont"/>
  </w:style>
  <w:style w:type="character" w:customStyle="1" w:styleId="ptbrand">
    <w:name w:val="ptbrand"/>
    <w:basedOn w:val="DefaultParagraphFont"/>
    <w:rsid w:val="00A4663B"/>
  </w:style>
  <w:style w:type="character" w:customStyle="1" w:styleId="gsa">
    <w:name w:val="gs_a"/>
    <w:basedOn w:val="DefaultParagraphFont"/>
    <w:rsid w:val="00A4663B"/>
  </w:style>
  <w:style w:type="character" w:customStyle="1" w:styleId="il">
    <w:name w:val="il"/>
    <w:basedOn w:val="DefaultParagraphFont"/>
    <w:rsid w:val="002509D7"/>
  </w:style>
  <w:style w:type="character" w:customStyle="1" w:styleId="st">
    <w:name w:val="st"/>
    <w:basedOn w:val="DefaultParagraphFont"/>
    <w:rsid w:val="003D5108"/>
  </w:style>
  <w:style w:type="character" w:styleId="Emphasis">
    <w:name w:val="Emphasis"/>
    <w:uiPriority w:val="20"/>
    <w:rsid w:val="003D5108"/>
    <w:rPr>
      <w:i/>
    </w:rPr>
  </w:style>
  <w:style w:type="character" w:customStyle="1" w:styleId="Heading1Char">
    <w:name w:val="Heading 1 Char"/>
    <w:link w:val="Heading1"/>
    <w:rsid w:val="00B2523D"/>
    <w:rPr>
      <w:rFonts w:ascii="Times" w:hAnsi="Times"/>
      <w:b/>
      <w:sz w:val="24"/>
    </w:rPr>
  </w:style>
  <w:style w:type="paragraph" w:styleId="Title">
    <w:name w:val="Title"/>
    <w:basedOn w:val="Normal"/>
    <w:link w:val="TitleChar"/>
    <w:qFormat/>
    <w:rsid w:val="00292347"/>
    <w:pPr>
      <w:jc w:val="center"/>
    </w:pPr>
    <w:rPr>
      <w:rFonts w:ascii="Times" w:hAnsi="Times"/>
      <w:b/>
      <w:szCs w:val="20"/>
      <w:lang w:val="x-none" w:eastAsia="x-none"/>
    </w:rPr>
  </w:style>
  <w:style w:type="character" w:customStyle="1" w:styleId="TitleChar">
    <w:name w:val="Title Char"/>
    <w:link w:val="Title"/>
    <w:rsid w:val="00292347"/>
    <w:rPr>
      <w:rFonts w:ascii="Times" w:hAnsi="Times"/>
      <w:b/>
      <w:sz w:val="24"/>
    </w:rPr>
  </w:style>
  <w:style w:type="character" w:customStyle="1" w:styleId="chapter-text">
    <w:name w:val="chapter-text"/>
    <w:basedOn w:val="DefaultParagraphFont"/>
    <w:rsid w:val="00FA0576"/>
  </w:style>
  <w:style w:type="paragraph" w:customStyle="1" w:styleId="Default">
    <w:name w:val="Default"/>
    <w:rsid w:val="001679DB"/>
    <w:pPr>
      <w:widowControl w:val="0"/>
      <w:autoSpaceDE w:val="0"/>
      <w:autoSpaceDN w:val="0"/>
      <w:adjustRightInd w:val="0"/>
    </w:pPr>
    <w:rPr>
      <w:rFonts w:ascii="Code 2000" w:eastAsia="Times" w:hAnsi="Code 2000" w:cs="Code 2000"/>
      <w:color w:val="000000"/>
      <w:sz w:val="24"/>
      <w:szCs w:val="24"/>
    </w:rPr>
  </w:style>
  <w:style w:type="character" w:styleId="HTMLCite">
    <w:name w:val="HTML Cite"/>
    <w:uiPriority w:val="99"/>
    <w:rsid w:val="004A307A"/>
    <w:rPr>
      <w:i/>
    </w:rPr>
  </w:style>
  <w:style w:type="character" w:customStyle="1" w:styleId="ecxitemprop">
    <w:name w:val="ecxitemprop"/>
    <w:rsid w:val="005826EE"/>
  </w:style>
  <w:style w:type="character" w:customStyle="1" w:styleId="BodyTextChar">
    <w:name w:val="Body Text Char"/>
    <w:link w:val="BodyText"/>
    <w:rsid w:val="00C92C1C"/>
    <w:rPr>
      <w:sz w:val="22"/>
    </w:rPr>
  </w:style>
  <w:style w:type="character" w:customStyle="1" w:styleId="owner">
    <w:name w:val="owner"/>
    <w:rsid w:val="00C92C1C"/>
  </w:style>
  <w:style w:type="character" w:styleId="Strong">
    <w:name w:val="Strong"/>
    <w:qFormat/>
    <w:rsid w:val="00C92C1C"/>
    <w:rPr>
      <w:b/>
    </w:rPr>
  </w:style>
  <w:style w:type="paragraph" w:styleId="ListParagraph">
    <w:name w:val="List Paragraph"/>
    <w:basedOn w:val="Normal"/>
    <w:uiPriority w:val="34"/>
    <w:qFormat/>
    <w:rsid w:val="00C4070F"/>
    <w:pPr>
      <w:ind w:left="720"/>
      <w:contextualSpacing/>
    </w:pPr>
    <w:rPr>
      <w:rFonts w:ascii="Cambria" w:eastAsia="MS Mincho" w:hAnsi="Cambria"/>
      <w:lang w:eastAsia="en-US"/>
    </w:rPr>
  </w:style>
  <w:style w:type="paragraph" w:styleId="BodyTextIndent">
    <w:name w:val="Body Text Indent"/>
    <w:basedOn w:val="Normal"/>
    <w:link w:val="BodyTextIndentChar"/>
    <w:uiPriority w:val="99"/>
    <w:unhideWhenUsed/>
    <w:rsid w:val="005140BE"/>
    <w:pPr>
      <w:autoSpaceDE w:val="0"/>
      <w:autoSpaceDN w:val="0"/>
      <w:spacing w:after="120"/>
      <w:ind w:left="360"/>
    </w:pPr>
    <w:rPr>
      <w:rFonts w:ascii="Times" w:hAnsi="Times"/>
      <w:szCs w:val="20"/>
      <w:lang w:val="x-none" w:eastAsia="x-none"/>
    </w:rPr>
  </w:style>
  <w:style w:type="character" w:customStyle="1" w:styleId="BodyTextIndentChar">
    <w:name w:val="Body Text Indent Char"/>
    <w:link w:val="BodyTextIndent"/>
    <w:uiPriority w:val="99"/>
    <w:rsid w:val="005140BE"/>
    <w:rPr>
      <w:rFonts w:ascii="Times" w:hAnsi="Times"/>
      <w:sz w:val="24"/>
    </w:rPr>
  </w:style>
  <w:style w:type="paragraph" w:styleId="Header">
    <w:name w:val="header"/>
    <w:basedOn w:val="Normal"/>
    <w:link w:val="HeaderChar"/>
    <w:rsid w:val="00AF2CC9"/>
    <w:pPr>
      <w:tabs>
        <w:tab w:val="center" w:pos="4320"/>
        <w:tab w:val="right" w:pos="8640"/>
      </w:tabs>
      <w:autoSpaceDE w:val="0"/>
      <w:autoSpaceDN w:val="0"/>
    </w:pPr>
    <w:rPr>
      <w:rFonts w:ascii="Times" w:hAnsi="Times"/>
      <w:szCs w:val="20"/>
      <w:lang w:val="x-none" w:eastAsia="x-none"/>
    </w:rPr>
  </w:style>
  <w:style w:type="character" w:customStyle="1" w:styleId="HeaderChar">
    <w:name w:val="Header Char"/>
    <w:link w:val="Header"/>
    <w:rsid w:val="00AF2CC9"/>
    <w:rPr>
      <w:rFonts w:ascii="Times" w:hAnsi="Times"/>
      <w:sz w:val="24"/>
    </w:rPr>
  </w:style>
  <w:style w:type="character" w:customStyle="1" w:styleId="subfielddata">
    <w:name w:val="subfielddata"/>
    <w:rsid w:val="005A06EA"/>
  </w:style>
  <w:style w:type="character" w:customStyle="1" w:styleId="highlight">
    <w:name w:val="highlight"/>
    <w:rsid w:val="005A06EA"/>
  </w:style>
  <w:style w:type="character" w:styleId="UnresolvedMention">
    <w:name w:val="Unresolved Mention"/>
    <w:basedOn w:val="DefaultParagraphFont"/>
    <w:uiPriority w:val="99"/>
    <w:semiHidden/>
    <w:unhideWhenUsed/>
    <w:rsid w:val="008B75E5"/>
    <w:rPr>
      <w:color w:val="605E5C"/>
      <w:shd w:val="clear" w:color="auto" w:fill="E1DFDD"/>
    </w:rPr>
  </w:style>
  <w:style w:type="character" w:customStyle="1" w:styleId="FooterChar">
    <w:name w:val="Footer Char"/>
    <w:basedOn w:val="DefaultParagraphFont"/>
    <w:link w:val="Footer"/>
    <w:rsid w:val="008F392B"/>
    <w:rPr>
      <w:rFonts w:ascii="Times" w:hAnsi="Times"/>
      <w:sz w:val="24"/>
    </w:rPr>
  </w:style>
  <w:style w:type="character" w:customStyle="1" w:styleId="apple-converted-space">
    <w:name w:val="apple-converted-space"/>
    <w:basedOn w:val="DefaultParagraphFont"/>
    <w:rsid w:val="00D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8902">
      <w:bodyDiv w:val="1"/>
      <w:marLeft w:val="0"/>
      <w:marRight w:val="0"/>
      <w:marTop w:val="0"/>
      <w:marBottom w:val="0"/>
      <w:divBdr>
        <w:top w:val="none" w:sz="0" w:space="0" w:color="auto"/>
        <w:left w:val="none" w:sz="0" w:space="0" w:color="auto"/>
        <w:bottom w:val="none" w:sz="0" w:space="0" w:color="auto"/>
        <w:right w:val="none" w:sz="0" w:space="0" w:color="auto"/>
      </w:divBdr>
    </w:div>
    <w:div w:id="369189374">
      <w:bodyDiv w:val="1"/>
      <w:marLeft w:val="0"/>
      <w:marRight w:val="0"/>
      <w:marTop w:val="0"/>
      <w:marBottom w:val="0"/>
      <w:divBdr>
        <w:top w:val="none" w:sz="0" w:space="0" w:color="auto"/>
        <w:left w:val="none" w:sz="0" w:space="0" w:color="auto"/>
        <w:bottom w:val="none" w:sz="0" w:space="0" w:color="auto"/>
        <w:right w:val="none" w:sz="0" w:space="0" w:color="auto"/>
      </w:divBdr>
    </w:div>
    <w:div w:id="569924646">
      <w:bodyDiv w:val="1"/>
      <w:marLeft w:val="0"/>
      <w:marRight w:val="0"/>
      <w:marTop w:val="0"/>
      <w:marBottom w:val="0"/>
      <w:divBdr>
        <w:top w:val="none" w:sz="0" w:space="0" w:color="auto"/>
        <w:left w:val="none" w:sz="0" w:space="0" w:color="auto"/>
        <w:bottom w:val="none" w:sz="0" w:space="0" w:color="auto"/>
        <w:right w:val="none" w:sz="0" w:space="0" w:color="auto"/>
      </w:divBdr>
    </w:div>
    <w:div w:id="606816131">
      <w:bodyDiv w:val="1"/>
      <w:marLeft w:val="0"/>
      <w:marRight w:val="0"/>
      <w:marTop w:val="0"/>
      <w:marBottom w:val="0"/>
      <w:divBdr>
        <w:top w:val="none" w:sz="0" w:space="0" w:color="auto"/>
        <w:left w:val="none" w:sz="0" w:space="0" w:color="auto"/>
        <w:bottom w:val="none" w:sz="0" w:space="0" w:color="auto"/>
        <w:right w:val="none" w:sz="0" w:space="0" w:color="auto"/>
      </w:divBdr>
      <w:divsChild>
        <w:div w:id="1549949063">
          <w:marLeft w:val="0"/>
          <w:marRight w:val="0"/>
          <w:marTop w:val="0"/>
          <w:marBottom w:val="0"/>
          <w:divBdr>
            <w:top w:val="none" w:sz="0" w:space="0" w:color="auto"/>
            <w:left w:val="none" w:sz="0" w:space="0" w:color="auto"/>
            <w:bottom w:val="none" w:sz="0" w:space="0" w:color="auto"/>
            <w:right w:val="none" w:sz="0" w:space="0" w:color="auto"/>
          </w:divBdr>
        </w:div>
        <w:div w:id="1409690663">
          <w:marLeft w:val="0"/>
          <w:marRight w:val="0"/>
          <w:marTop w:val="0"/>
          <w:marBottom w:val="0"/>
          <w:divBdr>
            <w:top w:val="none" w:sz="0" w:space="0" w:color="auto"/>
            <w:left w:val="none" w:sz="0" w:space="0" w:color="auto"/>
            <w:bottom w:val="none" w:sz="0" w:space="0" w:color="auto"/>
            <w:right w:val="none" w:sz="0" w:space="0" w:color="auto"/>
          </w:divBdr>
        </w:div>
        <w:div w:id="1818181781">
          <w:marLeft w:val="0"/>
          <w:marRight w:val="0"/>
          <w:marTop w:val="0"/>
          <w:marBottom w:val="0"/>
          <w:divBdr>
            <w:top w:val="none" w:sz="0" w:space="0" w:color="auto"/>
            <w:left w:val="none" w:sz="0" w:space="0" w:color="auto"/>
            <w:bottom w:val="none" w:sz="0" w:space="0" w:color="auto"/>
            <w:right w:val="none" w:sz="0" w:space="0" w:color="auto"/>
          </w:divBdr>
        </w:div>
      </w:divsChild>
    </w:div>
    <w:div w:id="764770831">
      <w:bodyDiv w:val="1"/>
      <w:marLeft w:val="0"/>
      <w:marRight w:val="0"/>
      <w:marTop w:val="0"/>
      <w:marBottom w:val="0"/>
      <w:divBdr>
        <w:top w:val="none" w:sz="0" w:space="0" w:color="auto"/>
        <w:left w:val="none" w:sz="0" w:space="0" w:color="auto"/>
        <w:bottom w:val="none" w:sz="0" w:space="0" w:color="auto"/>
        <w:right w:val="none" w:sz="0" w:space="0" w:color="auto"/>
      </w:divBdr>
    </w:div>
    <w:div w:id="870265084">
      <w:bodyDiv w:val="1"/>
      <w:marLeft w:val="0"/>
      <w:marRight w:val="0"/>
      <w:marTop w:val="0"/>
      <w:marBottom w:val="0"/>
      <w:divBdr>
        <w:top w:val="none" w:sz="0" w:space="0" w:color="auto"/>
        <w:left w:val="none" w:sz="0" w:space="0" w:color="auto"/>
        <w:bottom w:val="none" w:sz="0" w:space="0" w:color="auto"/>
        <w:right w:val="none" w:sz="0" w:space="0" w:color="auto"/>
      </w:divBdr>
    </w:div>
    <w:div w:id="997346147">
      <w:bodyDiv w:val="1"/>
      <w:marLeft w:val="0"/>
      <w:marRight w:val="0"/>
      <w:marTop w:val="0"/>
      <w:marBottom w:val="0"/>
      <w:divBdr>
        <w:top w:val="none" w:sz="0" w:space="0" w:color="auto"/>
        <w:left w:val="none" w:sz="0" w:space="0" w:color="auto"/>
        <w:bottom w:val="none" w:sz="0" w:space="0" w:color="auto"/>
        <w:right w:val="none" w:sz="0" w:space="0" w:color="auto"/>
      </w:divBdr>
    </w:div>
    <w:div w:id="1195460310">
      <w:bodyDiv w:val="1"/>
      <w:marLeft w:val="0"/>
      <w:marRight w:val="0"/>
      <w:marTop w:val="0"/>
      <w:marBottom w:val="0"/>
      <w:divBdr>
        <w:top w:val="none" w:sz="0" w:space="0" w:color="auto"/>
        <w:left w:val="none" w:sz="0" w:space="0" w:color="auto"/>
        <w:bottom w:val="none" w:sz="0" w:space="0" w:color="auto"/>
        <w:right w:val="none" w:sz="0" w:space="0" w:color="auto"/>
      </w:divBdr>
    </w:div>
    <w:div w:id="1328677950">
      <w:bodyDiv w:val="1"/>
      <w:marLeft w:val="0"/>
      <w:marRight w:val="0"/>
      <w:marTop w:val="0"/>
      <w:marBottom w:val="0"/>
      <w:divBdr>
        <w:top w:val="none" w:sz="0" w:space="0" w:color="auto"/>
        <w:left w:val="none" w:sz="0" w:space="0" w:color="auto"/>
        <w:bottom w:val="none" w:sz="0" w:space="0" w:color="auto"/>
        <w:right w:val="none" w:sz="0" w:space="0" w:color="auto"/>
      </w:divBdr>
    </w:div>
    <w:div w:id="1756053930">
      <w:bodyDiv w:val="1"/>
      <w:marLeft w:val="0"/>
      <w:marRight w:val="0"/>
      <w:marTop w:val="0"/>
      <w:marBottom w:val="0"/>
      <w:divBdr>
        <w:top w:val="none" w:sz="0" w:space="0" w:color="auto"/>
        <w:left w:val="none" w:sz="0" w:space="0" w:color="auto"/>
        <w:bottom w:val="none" w:sz="0" w:space="0" w:color="auto"/>
        <w:right w:val="none" w:sz="0" w:space="0" w:color="auto"/>
      </w:divBdr>
    </w:div>
    <w:div w:id="1846549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more.edu/writingcenter/" TargetMode="External"/><Relationship Id="rId13" Type="http://schemas.openxmlformats.org/officeDocument/2006/relationships/hyperlink" Target="https://www.maunakeaandtm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adicalhistoryreview.org/abusablepast/forum-2-4-ke-mau-nei-no-ke-ea-o-ka-%ca%bbaina-i-ka-po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deHUrL1FE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bguides.skidmore.edu/researchath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msauthor.skidmore.edu/academic_services/accessibility/" TargetMode="External"/><Relationship Id="rId14" Type="http://schemas.openxmlformats.org/officeDocument/2006/relationships/hyperlink" Target="http://www.britannica.com/EBchecked/topic/266312/Hindu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11</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Religion 101: Introduction to Religion – World Religions</vt:lpstr>
    </vt:vector>
  </TitlesOfParts>
  <Company>Citizen of  the World</Company>
  <LinksUpToDate>false</LinksUpToDate>
  <CharactersWithSpaces>27175</CharactersWithSpaces>
  <SharedDoc>false</SharedDoc>
  <HLinks>
    <vt:vector size="54" baseType="variant">
      <vt:variant>
        <vt:i4>2031654</vt:i4>
      </vt:variant>
      <vt:variant>
        <vt:i4>24</vt:i4>
      </vt:variant>
      <vt:variant>
        <vt:i4>0</vt:i4>
      </vt:variant>
      <vt:variant>
        <vt:i4>5</vt:i4>
      </vt:variant>
      <vt:variant>
        <vt:lpwstr>http://www.britannica.com/EBchecked/topic/266312/Hinduism</vt:lpwstr>
      </vt:variant>
      <vt:variant>
        <vt:lpwstr/>
      </vt:variant>
      <vt:variant>
        <vt:i4>2883613</vt:i4>
      </vt:variant>
      <vt:variant>
        <vt:i4>21</vt:i4>
      </vt:variant>
      <vt:variant>
        <vt:i4>0</vt:i4>
      </vt:variant>
      <vt:variant>
        <vt:i4>5</vt:i4>
      </vt:variant>
      <vt:variant>
        <vt:lpwstr>http://www.democracynow.org/2016/8/23/standing_rock_sioux_chairman_dakota_access</vt:lpwstr>
      </vt:variant>
      <vt:variant>
        <vt:lpwstr/>
      </vt:variant>
      <vt:variant>
        <vt:i4>2097224</vt:i4>
      </vt:variant>
      <vt:variant>
        <vt:i4>18</vt:i4>
      </vt:variant>
      <vt:variant>
        <vt:i4>0</vt:i4>
      </vt:variant>
      <vt:variant>
        <vt:i4>5</vt:i4>
      </vt:variant>
      <vt:variant>
        <vt:lpwstr>http://www.democracynow.org/2016/9/4/dakota_access_pipeline_company_attacks_native</vt:lpwstr>
      </vt:variant>
      <vt:variant>
        <vt:lpwstr/>
      </vt:variant>
      <vt:variant>
        <vt:i4>655435</vt:i4>
      </vt:variant>
      <vt:variant>
        <vt:i4>15</vt:i4>
      </vt:variant>
      <vt:variant>
        <vt:i4>0</vt:i4>
      </vt:variant>
      <vt:variant>
        <vt:i4>5</vt:i4>
      </vt:variant>
      <vt:variant>
        <vt:lpwstr>http://www.kfyrtv.com/content/news/Law-enforcement-issues-statement-on-Dakota-Access-Pipeline-protest-392267271.html</vt:lpwstr>
      </vt:variant>
      <vt:variant>
        <vt:lpwstr/>
      </vt:variant>
      <vt:variant>
        <vt:i4>7012399</vt:i4>
      </vt:variant>
      <vt:variant>
        <vt:i4>12</vt:i4>
      </vt:variant>
      <vt:variant>
        <vt:i4>0</vt:i4>
      </vt:variant>
      <vt:variant>
        <vt:i4>5</vt:i4>
      </vt:variant>
      <vt:variant>
        <vt:lpwstr>https://www.netflix.com/title/80184376</vt:lpwstr>
      </vt:variant>
      <vt:variant>
        <vt:lpwstr/>
      </vt:variant>
      <vt:variant>
        <vt:i4>2555996</vt:i4>
      </vt:variant>
      <vt:variant>
        <vt:i4>9</vt:i4>
      </vt:variant>
      <vt:variant>
        <vt:i4>0</vt:i4>
      </vt:variant>
      <vt:variant>
        <vt:i4>5</vt:i4>
      </vt:variant>
      <vt:variant>
        <vt:lpwstr>http://www.bullfrogfilms.com/catalog/awake.html</vt:lpwstr>
      </vt:variant>
      <vt:variant>
        <vt:lpwstr/>
      </vt:variant>
      <vt:variant>
        <vt:i4>2293869</vt:i4>
      </vt:variant>
      <vt:variant>
        <vt:i4>6</vt:i4>
      </vt:variant>
      <vt:variant>
        <vt:i4>0</vt:i4>
      </vt:variant>
      <vt:variant>
        <vt:i4>5</vt:i4>
      </vt:variant>
      <vt:variant>
        <vt:lpwstr>https://tif.ssrc.org/2015/09/14/cosmology-and-the-environment/</vt:lpwstr>
      </vt:variant>
      <vt:variant>
        <vt:lpwstr/>
      </vt:variant>
      <vt:variant>
        <vt:i4>4128788</vt:i4>
      </vt:variant>
      <vt:variant>
        <vt:i4>3</vt:i4>
      </vt:variant>
      <vt:variant>
        <vt:i4>0</vt:i4>
      </vt:variant>
      <vt:variant>
        <vt:i4>5</vt:i4>
      </vt:variant>
      <vt:variant>
        <vt:lpwstr>http://cmsauthor.skidmore.edu/academic_services/accessibility/</vt:lpwstr>
      </vt:variant>
      <vt:variant>
        <vt:lpwstr/>
      </vt:variant>
      <vt:variant>
        <vt:i4>3014671</vt:i4>
      </vt:variant>
      <vt:variant>
        <vt:i4>0</vt:i4>
      </vt:variant>
      <vt:variant>
        <vt:i4>0</vt:i4>
      </vt:variant>
      <vt:variant>
        <vt:i4>5</vt:i4>
      </vt:variant>
      <vt:variant>
        <vt:lpwstr>https://www.skidmore.edu/writingcenter/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101: Introduction to Religion – World Religions</dc:title>
  <dc:subject/>
  <dc:creator>Colgate University</dc:creator>
  <cp:keywords/>
  <dc:description/>
  <cp:lastModifiedBy>Eliza Kent</cp:lastModifiedBy>
  <cp:revision>14</cp:revision>
  <cp:lastPrinted>2021-01-27T17:29:00Z</cp:lastPrinted>
  <dcterms:created xsi:type="dcterms:W3CDTF">2021-01-05T17:36:00Z</dcterms:created>
  <dcterms:modified xsi:type="dcterms:W3CDTF">2021-02-01T18:50:00Z</dcterms:modified>
</cp:coreProperties>
</file>